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C0" w:rsidRPr="008A617C" w:rsidRDefault="00E369C0" w:rsidP="00E369C0">
      <w:pPr>
        <w:spacing w:after="160" w:line="480" w:lineRule="auto"/>
        <w:ind w:left="1134" w:hanging="850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8A617C">
        <w:rPr>
          <w:rFonts w:asciiTheme="majorBidi" w:eastAsia="Calibri" w:hAnsiTheme="majorBidi" w:cstheme="majorBidi"/>
          <w:b/>
          <w:bCs/>
          <w:sz w:val="24"/>
          <w:szCs w:val="24"/>
        </w:rPr>
        <w:t>DAFTAR PUSTAKA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Afandi, Ali.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Hukum Waris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,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Hukum Keluarga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,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Hukum Pembuktian</w:t>
      </w:r>
      <w:r w:rsidRPr="008A617C">
        <w:rPr>
          <w:rFonts w:asciiTheme="majorBidi" w:eastAsia="Calibri" w:hAnsiTheme="majorBidi" w:cstheme="majorBidi"/>
          <w:sz w:val="24"/>
          <w:szCs w:val="24"/>
        </w:rPr>
        <w:t>. Jakarta: Prenada</w:t>
      </w:r>
      <w:r w:rsidRPr="008A617C">
        <w:rPr>
          <w:rFonts w:asciiTheme="majorBidi" w:eastAsia="Calibri" w:hAnsiTheme="majorBidi" w:cstheme="majorBidi"/>
          <w:sz w:val="24"/>
          <w:szCs w:val="24"/>
          <w:lang w:val="id-ID"/>
        </w:rPr>
        <w:t>,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2003.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Al- Haitami, Ibnu Hajar. 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>Tuhfaj al-Muhtaj bisyarqil minhaj</w:t>
      </w:r>
      <w:r w:rsidRPr="008A617C">
        <w:rPr>
          <w:rFonts w:asciiTheme="majorBidi" w:hAnsiTheme="majorBidi" w:cstheme="majorBidi"/>
          <w:sz w:val="24"/>
          <w:szCs w:val="24"/>
        </w:rPr>
        <w:t>, al-Kubro Budhoh.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Al-Anshory, Abu Yahya Zakaria.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Fath al-wahhāb.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Singapura: Sulaiman Mar’iy. 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Al-Aziz, Moh Saifulloh.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Fiqih Islam Lengkap</w:t>
      </w:r>
      <w:r w:rsidRPr="008A617C">
        <w:rPr>
          <w:rFonts w:asciiTheme="majorBidi" w:eastAsia="Calibri" w:hAnsiTheme="majorBidi" w:cstheme="majorBidi"/>
          <w:sz w:val="24"/>
          <w:szCs w:val="24"/>
        </w:rPr>
        <w:t>, Surabaya: Terbit Terang, 2005.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Al-Hamid, M. Muhyi Ad-Din Abd.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Bitasharruf min Al-Ahwāl Al-Shakhşīyah,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>Ali, Atabik Ali dan Muhammad Mudhlor.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 xml:space="preserve"> Kamus Kontempoorer Arab Indonesia</w:t>
      </w:r>
      <w:r w:rsidRPr="008A617C">
        <w:rPr>
          <w:rFonts w:asciiTheme="majorBidi" w:hAnsiTheme="majorBidi" w:cstheme="majorBidi"/>
          <w:sz w:val="24"/>
          <w:szCs w:val="24"/>
        </w:rPr>
        <w:t>, Yogyakarta: Muti Karya Grafika Pondok Pesantren Krapyak, 1998.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Al-Khin, Mustafa dan Musthafa al-Bugha. 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>Al-Fiqh al-Manhajī ‘ala Madzhab al-Imam al-Syâfi’i.</w:t>
      </w:r>
      <w:r w:rsidRPr="008A617C">
        <w:rPr>
          <w:rFonts w:asciiTheme="majorBidi" w:hAnsiTheme="majorBidi" w:cstheme="majorBidi"/>
          <w:sz w:val="24"/>
          <w:szCs w:val="24"/>
        </w:rPr>
        <w:t xml:space="preserve"> Surabaya: Al-Fithrah, 2000, juz IV.</w:t>
      </w:r>
    </w:p>
    <w:p w:rsidR="00E369C0" w:rsidRPr="00F65241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F65241">
        <w:rPr>
          <w:rFonts w:asciiTheme="majorBidi" w:eastAsia="Calibri" w:hAnsiTheme="majorBidi" w:cstheme="majorBidi"/>
          <w:bCs/>
          <w:sz w:val="24"/>
          <w:szCs w:val="24"/>
        </w:rPr>
        <w:t xml:space="preserve"> Arifin</w:t>
      </w:r>
      <w:r>
        <w:rPr>
          <w:rFonts w:asciiTheme="majorBidi" w:eastAsia="Calibri" w:hAnsiTheme="majorBidi" w:cstheme="majorBidi"/>
          <w:bCs/>
          <w:sz w:val="24"/>
          <w:szCs w:val="24"/>
        </w:rPr>
        <w:t>,</w:t>
      </w:r>
      <w:r w:rsidRPr="00F65241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>Gus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.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 xml:space="preserve"> Menikah untuk bahagia fiqih menikah dan Kamasutra islami, ( Jakarta: PT A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lex Media Komputindo, 2013).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Asana, Indah Asana. “Rujuk Dan Tajdid Al-Nikah Sebagai Upaya Membentuk Keluarga Sakinah”. Skripsi tidak diterbitkan. Salatiga: IAIN Salatiga, 2016. 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As-Syafi’i, Yusuf al-Ardabili. 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>al-’Anwar li A’mal al-’Abror</w:t>
      </w:r>
      <w:r w:rsidRPr="008A617C">
        <w:rPr>
          <w:rFonts w:asciiTheme="majorBidi" w:hAnsiTheme="majorBidi" w:cstheme="majorBidi"/>
          <w:sz w:val="24"/>
          <w:szCs w:val="24"/>
        </w:rPr>
        <w:t>. Juz II, Beirut: Dar al-Dhiya’, t.t.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Aziz, Abdul dan Abdul Wahhab.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Fiqh Munakahat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. Jakarta: Amzah, 2009. 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Bahri, Syaiful. “Kontroversi Praktek Tajdid An-Nikah Dalam Perspektif Fikih Klasik”.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Jurnal Al Ahwal</w:t>
      </w:r>
      <w:r w:rsidRPr="008A617C">
        <w:rPr>
          <w:rFonts w:asciiTheme="majorBidi" w:eastAsia="Calibri" w:hAnsiTheme="majorBidi" w:cstheme="majorBidi"/>
          <w:sz w:val="24"/>
          <w:szCs w:val="24"/>
        </w:rPr>
        <w:t>, (2013), Vol. 6: 159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Dodi, Limas.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Metodologi Penelitian. 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Yogyakarta: Pustaka Ilmu, 2015. 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Fitrah, Muh. dan Lutfiyah.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Metodologi Penelitian. </w:t>
      </w:r>
      <w:r w:rsidRPr="008A617C">
        <w:rPr>
          <w:rFonts w:asciiTheme="majorBidi" w:eastAsia="Calibri" w:hAnsiTheme="majorBidi" w:cstheme="majorBidi"/>
          <w:sz w:val="24"/>
          <w:szCs w:val="24"/>
        </w:rPr>
        <w:t>Sukabumi: CV Jejak, 2017.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Ghazaly, Abd Rahman.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Fiqh Munakahat</w:t>
      </w:r>
      <w:r w:rsidRPr="008A617C">
        <w:rPr>
          <w:rFonts w:asciiTheme="majorBidi" w:eastAsia="Calibri" w:hAnsiTheme="majorBidi" w:cstheme="majorBidi"/>
          <w:sz w:val="24"/>
          <w:szCs w:val="24"/>
        </w:rPr>
        <w:t>. Jakarta: Prenadamedia Group, 2019.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Hasan, Mustofa.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Penantar Hukum Keluarga. 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Bandung: CV Pustaka Setia, 2011. </w:t>
      </w:r>
    </w:p>
    <w:p w:rsidR="00E369C0" w:rsidRPr="00F65241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>Ismatulloh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 xml:space="preserve"> A.M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. 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 xml:space="preserve">”Konsep Sakinah, Mawaddah Dan Rahmah Dalam Al-Qur’an (Prespektif Penafsiran Kitab Al-Qur’an Dan Tafsirnya”, Jurnal Pemikiran Hukum Isalm Vol. XIV, No. 1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(Juni 2015).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Latifah, Ro’isul. “Tinjauan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Maslahah </w:t>
      </w:r>
      <w:r w:rsidRPr="008A617C">
        <w:rPr>
          <w:rFonts w:asciiTheme="majorBidi" w:eastAsia="Calibri" w:hAnsiTheme="majorBidi" w:cstheme="majorBidi"/>
          <w:sz w:val="24"/>
          <w:szCs w:val="24"/>
        </w:rPr>
        <w:t>Terhadap Pelaksanaan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Mbangun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Nikah  Di Desa Blembem Kecamatan Jambon Kabupaten Ponorogo”. Skripsi tidak diterbitkan. Ponorogo: IAIN Ponorogo, 2018.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>Muflikhun, Nuril. “Analisis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Maslahah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Terhadap Tradisi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Mbangun </w:t>
      </w:r>
      <w:r w:rsidRPr="008A617C">
        <w:rPr>
          <w:rFonts w:asciiTheme="majorBidi" w:eastAsia="Calibri" w:hAnsiTheme="majorBidi" w:cstheme="majorBidi"/>
          <w:sz w:val="24"/>
          <w:szCs w:val="24"/>
        </w:rPr>
        <w:t>Nikah (Studi Kasus Di Desa Lemahbang Kecamatan Sukorejo Kabupaten Pasuruan”. Skripsi tidak diterbitkan. Surabaya: UIN Sunan Ampel Surabaya, 2014.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Nafik, Mohammad. “Fenomena Tajdidun An-Nikah di Kelurahan Ujung Kecamatan Semampir, Surabaya”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Realita, 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(2016), Vol. 14: 165. </w:t>
      </w:r>
    </w:p>
    <w:p w:rsidR="00E369C0" w:rsidRPr="00F65241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>Nancy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 xml:space="preserve"> Maria Nona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dkk.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 xml:space="preserve"> “Hubungan Nilai dalam Perkawinan dan Pemanfaatan dengan Keharmonisan Keluarga,” Jurnal Psikologi dimensi Vol</w:t>
      </w:r>
      <w:r>
        <w:rPr>
          <w:rFonts w:asciiTheme="majorBidi" w:eastAsia="Times New Roman" w:hAnsiTheme="majorBidi" w:cstheme="majorBidi"/>
          <w:bCs/>
          <w:sz w:val="24"/>
          <w:szCs w:val="24"/>
        </w:rPr>
        <w:t>, 13 No. 1, (Januari-juni 2014)</w:t>
      </w:r>
      <w:r w:rsidRPr="00F65241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Raco, J.R.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Metode Penelitian Kualitatif. 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Jakarta: PT Grasindo, 2010.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Sabiq, Sayyid.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Fiqih Sunnah 6</w:t>
      </w:r>
      <w:r w:rsidRPr="008A617C">
        <w:rPr>
          <w:rFonts w:asciiTheme="majorBidi" w:eastAsia="Calibri" w:hAnsiTheme="majorBidi" w:cstheme="majorBidi"/>
          <w:sz w:val="24"/>
          <w:szCs w:val="24"/>
        </w:rPr>
        <w:t>. Bandung: PT Al Ma’arif, 1990.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Saekan, Mukhamad.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Metodologi Penelitian Kualitatif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. Kudus: Nora Media Enterprise, 2010. 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Saifuddin, Ahmad “Problematika Hukum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Mbangun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 Nikah (Studi Kasus Di Kecamatan Sambit Kabupaten Ponorogo”. Skripsi tidak diterbitkan. Ponorogo: STAIN Ponorogo, 2016.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Setiady,Tolib. 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>Intisari Hukum Adat Indonesia</w:t>
      </w:r>
      <w:r w:rsidRPr="008A617C">
        <w:rPr>
          <w:rFonts w:asciiTheme="majorBidi" w:hAnsiTheme="majorBidi" w:cstheme="majorBidi"/>
          <w:sz w:val="24"/>
          <w:szCs w:val="24"/>
        </w:rPr>
        <w:t>. Bandung: Alfabeta, 2008.</w:t>
      </w:r>
    </w:p>
    <w:p w:rsidR="00E369C0" w:rsidRPr="008A617C" w:rsidRDefault="00E369C0" w:rsidP="00E369C0">
      <w:pPr>
        <w:spacing w:after="160" w:line="480" w:lineRule="auto"/>
        <w:ind w:left="1134" w:hanging="850"/>
        <w:jc w:val="both"/>
        <w:rPr>
          <w:rFonts w:asciiTheme="majorBidi" w:hAnsiTheme="majorBidi" w:cstheme="majorBidi"/>
          <w:sz w:val="24"/>
          <w:szCs w:val="24"/>
        </w:rPr>
      </w:pPr>
      <w:r w:rsidRPr="008A617C">
        <w:rPr>
          <w:rFonts w:asciiTheme="majorBidi" w:hAnsiTheme="majorBidi" w:cstheme="majorBidi"/>
          <w:sz w:val="24"/>
          <w:szCs w:val="24"/>
        </w:rPr>
        <w:t xml:space="preserve">Sholikhin, K.H. Muhammad. </w:t>
      </w:r>
      <w:r w:rsidRPr="008A617C">
        <w:rPr>
          <w:rFonts w:asciiTheme="majorBidi" w:hAnsiTheme="majorBidi" w:cstheme="majorBidi"/>
          <w:i/>
          <w:iCs/>
          <w:sz w:val="24"/>
          <w:szCs w:val="24"/>
        </w:rPr>
        <w:t>Ritual Dan Tradisi Islam Jawa</w:t>
      </w:r>
      <w:r w:rsidRPr="008A617C">
        <w:rPr>
          <w:rFonts w:asciiTheme="majorBidi" w:hAnsiTheme="majorBidi" w:cstheme="majorBidi"/>
          <w:sz w:val="24"/>
          <w:szCs w:val="24"/>
        </w:rPr>
        <w:t>. Yogjakarta: Narasi, 2010.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Siyoto, Sandu dan M. Ali Sodik.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Dasar Metodologi Penelitian. </w:t>
      </w:r>
      <w:r w:rsidRPr="008A617C">
        <w:rPr>
          <w:rFonts w:asciiTheme="majorBidi" w:eastAsia="Calibri" w:hAnsiTheme="majorBidi" w:cstheme="majorBidi"/>
          <w:sz w:val="24"/>
          <w:szCs w:val="24"/>
        </w:rPr>
        <w:t>Yogyakarta: Literasi Media Publishing, 2015.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Sutaji.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Tajdid Nikah Dalam Perspekstif Hukum Islam</w:t>
      </w:r>
      <w:r w:rsidRPr="008A617C">
        <w:rPr>
          <w:rFonts w:asciiTheme="majorBidi" w:eastAsia="Calibri" w:hAnsiTheme="majorBidi" w:cstheme="majorBidi"/>
          <w:sz w:val="24"/>
          <w:szCs w:val="24"/>
        </w:rPr>
        <w:t>. Surabaya: CV Jakad Publishing, 2018.</w:t>
      </w:r>
    </w:p>
    <w:p w:rsidR="00E369C0" w:rsidRPr="008A617C" w:rsidRDefault="00E369C0" w:rsidP="00E369C0">
      <w:pPr>
        <w:spacing w:after="160" w:line="480" w:lineRule="auto"/>
        <w:ind w:left="1134" w:hanging="850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 xml:space="preserve">Zahrah, Abu. 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>Al-Ahwāl Al-Shakhşīyah</w:t>
      </w:r>
      <w:r w:rsidRPr="008A617C">
        <w:rPr>
          <w:rFonts w:asciiTheme="majorBidi" w:eastAsia="Calibri" w:hAnsiTheme="majorBidi" w:cstheme="majorBidi"/>
          <w:sz w:val="24"/>
          <w:szCs w:val="24"/>
        </w:rPr>
        <w:t xml:space="preserve">. Qismu Az-Zawaj. Kairo: Dar al-Fikr al-Arabi, 1950. </w:t>
      </w:r>
    </w:p>
    <w:p w:rsidR="00E369C0" w:rsidRDefault="00E369C0" w:rsidP="00E369C0">
      <w:pPr>
        <w:spacing w:after="160" w:line="480" w:lineRule="auto"/>
        <w:ind w:left="1134" w:hanging="85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8A617C">
        <w:rPr>
          <w:rFonts w:asciiTheme="majorBidi" w:eastAsia="Calibri" w:hAnsiTheme="majorBidi" w:cstheme="majorBidi"/>
          <w:sz w:val="24"/>
          <w:szCs w:val="24"/>
        </w:rPr>
        <w:t>Zassroni, Anny Setiawan. “Tinjauan Hukum Islam Terhadap Tradisi Mbangun Nikah (Studi Kasus Desa Bangoan Kecamatan Kedungwaru Kabupaten Tulungagung”,Skripsi tidak diterbitkan.</w:t>
      </w:r>
      <w:r w:rsidRPr="008A617C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Pr="008A617C">
        <w:rPr>
          <w:rFonts w:asciiTheme="majorBidi" w:eastAsia="Calibri" w:hAnsiTheme="majorBidi" w:cstheme="majorBidi"/>
          <w:sz w:val="24"/>
          <w:szCs w:val="24"/>
        </w:rPr>
        <w:t>Tulungagung: IAIN Tulungagung, 2020.</w:t>
      </w:r>
    </w:p>
    <w:p w:rsidR="00226810" w:rsidRDefault="00226810"/>
    <w:sectPr w:rsidR="00226810" w:rsidSect="00EB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BF" w:rsidRDefault="003448BF" w:rsidP="00EB1273">
      <w:pPr>
        <w:spacing w:after="0" w:line="240" w:lineRule="auto"/>
      </w:pPr>
      <w:r>
        <w:separator/>
      </w:r>
    </w:p>
  </w:endnote>
  <w:endnote w:type="continuationSeparator" w:id="0">
    <w:p w:rsidR="003448BF" w:rsidRDefault="003448BF" w:rsidP="00EB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73" w:rsidRDefault="00EB1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4638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B1273" w:rsidRDefault="00EB1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D85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EB1273" w:rsidRDefault="00EB1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73" w:rsidRDefault="00EB1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BF" w:rsidRDefault="003448BF" w:rsidP="00EB1273">
      <w:pPr>
        <w:spacing w:after="0" w:line="240" w:lineRule="auto"/>
      </w:pPr>
      <w:r>
        <w:separator/>
      </w:r>
    </w:p>
  </w:footnote>
  <w:footnote w:type="continuationSeparator" w:id="0">
    <w:p w:rsidR="003448BF" w:rsidRDefault="003448BF" w:rsidP="00EB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73" w:rsidRDefault="00EB1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73" w:rsidRDefault="00EB1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73" w:rsidRDefault="00EB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0"/>
    <w:rsid w:val="00226810"/>
    <w:rsid w:val="003448BF"/>
    <w:rsid w:val="00B03D85"/>
    <w:rsid w:val="00CD64F3"/>
    <w:rsid w:val="00E369C0"/>
    <w:rsid w:val="00E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DA71-59FA-4B5E-8A0B-61C98CE4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C0"/>
    <w:pPr>
      <w:spacing w:after="200" w:line="276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73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B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73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2022-11-24T02:08:00Z</dcterms:created>
  <dcterms:modified xsi:type="dcterms:W3CDTF">2022-11-24T02:08:00Z</dcterms:modified>
</cp:coreProperties>
</file>