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E2" w:rsidRDefault="00F411E2" w:rsidP="00F411E2">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VI</w:t>
      </w:r>
    </w:p>
    <w:p w:rsidR="00F411E2" w:rsidRDefault="00F411E2" w:rsidP="00F411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F411E2" w:rsidRDefault="00F411E2" w:rsidP="00F411E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KESIMPULAN</w:t>
      </w:r>
    </w:p>
    <w:p w:rsidR="00F411E2" w:rsidRDefault="00F411E2" w:rsidP="00F411E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analisi pada BPRS Lantabur Tebuireng Jombang, penulis dapat menarik beberapa kesimpulan sebagai berikut:</w:t>
      </w:r>
    </w:p>
    <w:p w:rsidR="00F411E2" w:rsidRPr="00F46125" w:rsidRDefault="00F411E2" w:rsidP="00F411E2">
      <w:pPr>
        <w:pStyle w:val="ListParagraph"/>
        <w:numPr>
          <w:ilvl w:val="0"/>
          <w:numId w:val="2"/>
        </w:numPr>
        <w:spacing w:after="0" w:line="480" w:lineRule="auto"/>
        <w:ind w:left="426"/>
        <w:contextualSpacing w:val="0"/>
        <w:jc w:val="both"/>
        <w:rPr>
          <w:rFonts w:asciiTheme="majorBidi" w:hAnsiTheme="majorBidi" w:cstheme="majorBidi"/>
          <w:b/>
          <w:sz w:val="24"/>
          <w:szCs w:val="24"/>
        </w:rPr>
      </w:pPr>
      <w:r>
        <w:rPr>
          <w:rFonts w:asciiTheme="majorBidi" w:hAnsiTheme="majorBidi" w:cstheme="majorBidi"/>
          <w:sz w:val="24"/>
          <w:szCs w:val="24"/>
        </w:rPr>
        <w:t xml:space="preserve">Implementasi </w:t>
      </w:r>
      <w:r w:rsidRPr="002A4C79">
        <w:rPr>
          <w:rFonts w:asciiTheme="majorBidi" w:hAnsiTheme="majorBidi" w:cstheme="majorBidi"/>
          <w:i/>
          <w:color w:val="000000" w:themeColor="text1"/>
          <w:sz w:val="24"/>
          <w:szCs w:val="24"/>
        </w:rPr>
        <w:t xml:space="preserve">Good Corporate Governance </w:t>
      </w:r>
      <w:r w:rsidRPr="002A4C79">
        <w:rPr>
          <w:rFonts w:asciiTheme="majorBidi" w:hAnsiTheme="majorBidi" w:cstheme="majorBidi"/>
          <w:color w:val="000000" w:themeColor="text1"/>
          <w:sz w:val="24"/>
          <w:szCs w:val="24"/>
        </w:rPr>
        <w:t>(GCG)</w:t>
      </w:r>
      <w:r>
        <w:rPr>
          <w:rFonts w:asciiTheme="majorBidi" w:hAnsiTheme="majorBidi" w:cstheme="majorBidi"/>
          <w:color w:val="000000" w:themeColor="text1"/>
          <w:sz w:val="24"/>
          <w:szCs w:val="24"/>
        </w:rPr>
        <w:t xml:space="preserve"> yang dilakukan di kantor cabang </w:t>
      </w:r>
      <w:r w:rsidRPr="002A4C79">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 xml:space="preserve"> yang meliputi aspek- aspek </w:t>
      </w:r>
      <w:r w:rsidRPr="000D4F65">
        <w:rPr>
          <w:rFonts w:ascii="Times New Roman" w:hAnsi="Times New Roman" w:cs="Times New Roman"/>
          <w:bCs/>
          <w:sz w:val="24"/>
          <w:szCs w:val="24"/>
        </w:rPr>
        <w:t>keterbukaan (</w:t>
      </w:r>
      <w:r w:rsidRPr="000D4F65">
        <w:rPr>
          <w:rFonts w:ascii="Times New Roman" w:hAnsi="Times New Roman" w:cs="Times New Roman"/>
          <w:bCs/>
          <w:i/>
          <w:sz w:val="24"/>
          <w:szCs w:val="24"/>
        </w:rPr>
        <w:t>transparancy</w:t>
      </w:r>
      <w:r w:rsidRPr="000D4F65">
        <w:rPr>
          <w:rFonts w:ascii="Times New Roman" w:hAnsi="Times New Roman" w:cs="Times New Roman"/>
          <w:bCs/>
          <w:sz w:val="24"/>
          <w:szCs w:val="24"/>
        </w:rPr>
        <w:t>), akuntabilitas (</w:t>
      </w:r>
      <w:r w:rsidRPr="000D4F65">
        <w:rPr>
          <w:rFonts w:ascii="Times New Roman" w:hAnsi="Times New Roman" w:cs="Times New Roman"/>
          <w:bCs/>
          <w:i/>
          <w:sz w:val="24"/>
          <w:szCs w:val="24"/>
        </w:rPr>
        <w:t>accountability</w:t>
      </w:r>
      <w:r w:rsidRPr="000D4F65">
        <w:rPr>
          <w:rFonts w:ascii="Times New Roman" w:hAnsi="Times New Roman" w:cs="Times New Roman"/>
          <w:bCs/>
          <w:sz w:val="24"/>
          <w:szCs w:val="24"/>
        </w:rPr>
        <w:t>), tanggung jawab (</w:t>
      </w:r>
      <w:r w:rsidRPr="000D4F65">
        <w:rPr>
          <w:rFonts w:ascii="Times New Roman" w:hAnsi="Times New Roman" w:cs="Times New Roman"/>
          <w:bCs/>
          <w:i/>
          <w:sz w:val="24"/>
          <w:szCs w:val="24"/>
        </w:rPr>
        <w:t>responsibility</w:t>
      </w:r>
      <w:r w:rsidRPr="000D4F65">
        <w:rPr>
          <w:rFonts w:ascii="Times New Roman" w:hAnsi="Times New Roman" w:cs="Times New Roman"/>
          <w:bCs/>
          <w:sz w:val="24"/>
          <w:szCs w:val="24"/>
        </w:rPr>
        <w:t>), independensi (</w:t>
      </w:r>
      <w:r w:rsidRPr="000D4F65">
        <w:rPr>
          <w:rFonts w:ascii="Times New Roman" w:hAnsi="Times New Roman" w:cs="Times New Roman"/>
          <w:bCs/>
          <w:i/>
          <w:sz w:val="24"/>
          <w:szCs w:val="24"/>
        </w:rPr>
        <w:t>independency</w:t>
      </w:r>
      <w:r w:rsidRPr="000D4F65">
        <w:rPr>
          <w:rFonts w:ascii="Times New Roman" w:hAnsi="Times New Roman" w:cs="Times New Roman"/>
          <w:bCs/>
          <w:sz w:val="24"/>
          <w:szCs w:val="24"/>
        </w:rPr>
        <w:t>), kesetaraan dan kewajaran (</w:t>
      </w:r>
      <w:r w:rsidRPr="000D4F65">
        <w:rPr>
          <w:rFonts w:ascii="Times New Roman" w:hAnsi="Times New Roman" w:cs="Times New Roman"/>
          <w:bCs/>
          <w:i/>
          <w:sz w:val="24"/>
          <w:szCs w:val="24"/>
        </w:rPr>
        <w:t>fairness</w:t>
      </w:r>
      <w:r w:rsidRPr="000D4F65">
        <w:rPr>
          <w:rFonts w:ascii="Times New Roman" w:hAnsi="Times New Roman" w:cs="Times New Roman"/>
          <w:bCs/>
          <w:sz w:val="24"/>
          <w:szCs w:val="24"/>
        </w:rPr>
        <w:t>)</w:t>
      </w:r>
      <w:r>
        <w:rPr>
          <w:rFonts w:ascii="Times New Roman" w:hAnsi="Times New Roman" w:cs="Times New Roman"/>
          <w:bCs/>
          <w:sz w:val="24"/>
          <w:szCs w:val="24"/>
        </w:rPr>
        <w:t>.</w:t>
      </w:r>
    </w:p>
    <w:p w:rsidR="00F411E2" w:rsidRPr="00304154" w:rsidRDefault="00F411E2" w:rsidP="00F411E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bCs/>
          <w:sz w:val="24"/>
          <w:szCs w:val="24"/>
        </w:rPr>
        <w:t>K</w:t>
      </w:r>
      <w:r w:rsidRPr="000D4F65">
        <w:rPr>
          <w:rFonts w:ascii="Times New Roman" w:hAnsi="Times New Roman" w:cs="Times New Roman"/>
          <w:bCs/>
          <w:sz w:val="24"/>
          <w:szCs w:val="24"/>
        </w:rPr>
        <w:t>eterbukaan (</w:t>
      </w:r>
      <w:r w:rsidRPr="000D4F65">
        <w:rPr>
          <w:rFonts w:ascii="Times New Roman" w:hAnsi="Times New Roman" w:cs="Times New Roman"/>
          <w:bCs/>
          <w:i/>
          <w:sz w:val="24"/>
          <w:szCs w:val="24"/>
        </w:rPr>
        <w:t>transparancy</w:t>
      </w:r>
      <w:r w:rsidRPr="000D4F65">
        <w:rPr>
          <w:rFonts w:ascii="Times New Roman" w:hAnsi="Times New Roman" w:cs="Times New Roman"/>
          <w:bCs/>
          <w:sz w:val="24"/>
          <w:szCs w:val="24"/>
        </w:rPr>
        <w:t>)</w:t>
      </w:r>
      <w:r>
        <w:rPr>
          <w:rFonts w:ascii="Times New Roman" w:hAnsi="Times New Roman" w:cs="Times New Roman"/>
          <w:bCs/>
          <w:sz w:val="24"/>
          <w:szCs w:val="24"/>
        </w:rPr>
        <w:t xml:space="preserve"> yaitu dengan memberikan </w:t>
      </w:r>
      <w:r>
        <w:rPr>
          <w:rFonts w:ascii="Times New Roman" w:hAnsi="Times New Roman" w:cs="Times New Roman"/>
          <w:sz w:val="24"/>
          <w:szCs w:val="24"/>
        </w:rPr>
        <w:t>informasi  yang  dipublikasik</w:t>
      </w:r>
      <w:r w:rsidRPr="00304154">
        <w:rPr>
          <w:rFonts w:ascii="Times New Roman" w:hAnsi="Times New Roman" w:cs="Times New Roman"/>
          <w:sz w:val="24"/>
          <w:szCs w:val="24"/>
        </w:rPr>
        <w:t>an/diakses  oleh  pihak  umum  terbatas, hal  ini  dikarenakan  informasi-informasi  penting  yang  berkaitan  dengan diperbolehkannya  nasabah  untuk  mengakses  semua  informasi  tentang bank,  seperti  neraca,  laporan  keuangan  yang  telah  diaudit.  Hal-hal  yang tidak boleh diketahui pihak luar termasuk nasabah adalah tentang rahasia-</w:t>
      </w:r>
      <w:r>
        <w:rPr>
          <w:rFonts w:ascii="Times New Roman" w:hAnsi="Times New Roman" w:cs="Times New Roman"/>
          <w:sz w:val="24"/>
          <w:szCs w:val="24"/>
        </w:rPr>
        <w:t xml:space="preserve"> </w:t>
      </w:r>
      <w:r w:rsidRPr="00304154">
        <w:rPr>
          <w:rFonts w:ascii="Times New Roman" w:hAnsi="Times New Roman" w:cs="Times New Roman"/>
          <w:sz w:val="24"/>
          <w:szCs w:val="24"/>
        </w:rPr>
        <w:t xml:space="preserve">rahasia  bank  yang  jika  diketahui  oleh  pihak  luar  akan  mengakibatkan terganggunya  kegiatan  dalam  bank  tersebut.  Informasi-informasi  penting seperti  sistem,  kebijakan,  dan  laporan  kinerja  perusahaan  hanya  dapat diakses oleh pihak yang berkepentingan seperti, kantor pajak, BI. Dalam hal keterbukaan dalam risiko, </w:t>
      </w:r>
      <w:r w:rsidRPr="002A4C79">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 xml:space="preserve"> </w:t>
      </w:r>
      <w:r w:rsidRPr="00304154">
        <w:rPr>
          <w:rFonts w:ascii="Times New Roman" w:hAnsi="Times New Roman" w:cs="Times New Roman"/>
          <w:sz w:val="24"/>
          <w:szCs w:val="24"/>
        </w:rPr>
        <w:t xml:space="preserve">telah melakukan </w:t>
      </w:r>
      <w:proofErr w:type="gramStart"/>
      <w:r w:rsidRPr="00304154">
        <w:rPr>
          <w:rFonts w:ascii="Times New Roman" w:hAnsi="Times New Roman" w:cs="Times New Roman"/>
          <w:sz w:val="24"/>
          <w:szCs w:val="24"/>
        </w:rPr>
        <w:t xml:space="preserve">aktivitas  </w:t>
      </w:r>
      <w:r w:rsidRPr="00304154">
        <w:rPr>
          <w:rFonts w:ascii="Times New Roman" w:hAnsi="Times New Roman" w:cs="Times New Roman"/>
          <w:sz w:val="24"/>
          <w:szCs w:val="24"/>
        </w:rPr>
        <w:lastRenderedPageBreak/>
        <w:t>perbankannya</w:t>
      </w:r>
      <w:proofErr w:type="gramEnd"/>
      <w:r w:rsidRPr="00304154">
        <w:rPr>
          <w:rFonts w:ascii="Times New Roman" w:hAnsi="Times New Roman" w:cs="Times New Roman"/>
          <w:sz w:val="24"/>
          <w:szCs w:val="24"/>
        </w:rPr>
        <w:t xml:space="preserve">  dengan  menerapkan  </w:t>
      </w:r>
      <w:r w:rsidRPr="00304154">
        <w:rPr>
          <w:rFonts w:ascii="Times New Roman" w:hAnsi="Times New Roman" w:cs="Times New Roman"/>
          <w:i/>
          <w:sz w:val="24"/>
          <w:szCs w:val="24"/>
        </w:rPr>
        <w:t>Know  Your  Consumers</w:t>
      </w:r>
      <w:r>
        <w:rPr>
          <w:rFonts w:ascii="Times New Roman" w:hAnsi="Times New Roman" w:cs="Times New Roman"/>
          <w:sz w:val="24"/>
          <w:szCs w:val="24"/>
        </w:rPr>
        <w:t xml:space="preserve"> </w:t>
      </w:r>
      <w:r w:rsidRPr="00304154">
        <w:rPr>
          <w:rFonts w:ascii="Times New Roman" w:hAnsi="Times New Roman" w:cs="Times New Roman"/>
          <w:sz w:val="24"/>
          <w:szCs w:val="24"/>
        </w:rPr>
        <w:t>(KYC).</w:t>
      </w:r>
      <w:r>
        <w:rPr>
          <w:rFonts w:ascii="Times New Roman" w:hAnsi="Times New Roman" w:cs="Times New Roman"/>
          <w:sz w:val="24"/>
          <w:szCs w:val="24"/>
        </w:rPr>
        <w:t xml:space="preserve"> Hal tersebut sesuai dengan QS. Al- Furqan ayat 72.</w:t>
      </w:r>
    </w:p>
    <w:p w:rsidR="00F411E2" w:rsidRPr="00877B6F" w:rsidRDefault="00F411E2" w:rsidP="00F411E2">
      <w:pPr>
        <w:pStyle w:val="ListParagraph"/>
        <w:numPr>
          <w:ilvl w:val="0"/>
          <w:numId w:val="3"/>
        </w:numPr>
        <w:spacing w:line="480" w:lineRule="auto"/>
        <w:jc w:val="both"/>
        <w:rPr>
          <w:rFonts w:ascii="Times New Roman" w:hAnsi="Times New Roman" w:cs="Times New Roman"/>
          <w:sz w:val="24"/>
          <w:szCs w:val="24"/>
        </w:rPr>
      </w:pPr>
      <w:r w:rsidRPr="000F2CA5">
        <w:rPr>
          <w:rFonts w:asciiTheme="majorBidi" w:hAnsiTheme="majorBidi" w:cstheme="majorBidi"/>
          <w:i/>
          <w:sz w:val="24"/>
          <w:szCs w:val="24"/>
        </w:rPr>
        <w:t>Accountability</w:t>
      </w:r>
      <w:r>
        <w:rPr>
          <w:rFonts w:asciiTheme="majorBidi" w:hAnsiTheme="majorBidi" w:cstheme="majorBidi"/>
          <w:i/>
          <w:sz w:val="24"/>
          <w:szCs w:val="24"/>
        </w:rPr>
        <w:t xml:space="preserve"> </w:t>
      </w:r>
      <w:r>
        <w:rPr>
          <w:rFonts w:asciiTheme="majorBidi" w:hAnsiTheme="majorBidi" w:cstheme="majorBidi"/>
          <w:sz w:val="24"/>
          <w:szCs w:val="24"/>
        </w:rPr>
        <w:t xml:space="preserve">pada </w:t>
      </w:r>
      <w:r w:rsidRPr="000A4378">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 xml:space="preserve"> diwujudkan dengan kejelasan tanggungjawab yang mewajibkan semua karyawan melakukan aktifitasnya sesuai dengan </w:t>
      </w:r>
      <w:r>
        <w:rPr>
          <w:rFonts w:asciiTheme="majorBidi" w:hAnsiTheme="majorBidi" w:cstheme="majorBidi"/>
          <w:i/>
          <w:color w:val="000000" w:themeColor="text1"/>
          <w:sz w:val="24"/>
          <w:szCs w:val="24"/>
        </w:rPr>
        <w:t>job description-</w:t>
      </w:r>
      <w:r>
        <w:rPr>
          <w:rFonts w:asciiTheme="majorBidi" w:hAnsiTheme="majorBidi" w:cstheme="majorBidi"/>
          <w:color w:val="000000" w:themeColor="text1"/>
          <w:sz w:val="24"/>
          <w:szCs w:val="24"/>
        </w:rPr>
        <w:t xml:space="preserve"> nya. </w:t>
      </w:r>
      <w:r w:rsidRPr="000A4378">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 xml:space="preserve"> juga tidak melakukan perangkapan tugas dan jabatan. Dalam mengaplikasikan akuntabilitasnya melalui pemberian </w:t>
      </w:r>
      <w:r>
        <w:rPr>
          <w:rFonts w:asciiTheme="majorBidi" w:hAnsiTheme="majorBidi" w:cstheme="majorBidi"/>
          <w:i/>
          <w:color w:val="000000" w:themeColor="text1"/>
          <w:sz w:val="24"/>
          <w:szCs w:val="24"/>
        </w:rPr>
        <w:t xml:space="preserve">reward </w:t>
      </w:r>
      <w:r>
        <w:rPr>
          <w:rFonts w:asciiTheme="majorBidi" w:hAnsiTheme="majorBidi" w:cstheme="majorBidi"/>
          <w:color w:val="000000" w:themeColor="text1"/>
          <w:sz w:val="24"/>
          <w:szCs w:val="24"/>
        </w:rPr>
        <w:t xml:space="preserve">dan </w:t>
      </w:r>
      <w:r>
        <w:rPr>
          <w:rFonts w:asciiTheme="majorBidi" w:hAnsiTheme="majorBidi" w:cstheme="majorBidi"/>
          <w:i/>
          <w:color w:val="000000" w:themeColor="text1"/>
          <w:sz w:val="24"/>
          <w:szCs w:val="24"/>
        </w:rPr>
        <w:t>punishment system.</w:t>
      </w:r>
      <w:r>
        <w:rPr>
          <w:rFonts w:asciiTheme="majorBidi" w:hAnsiTheme="majorBidi" w:cstheme="majorBidi"/>
          <w:color w:val="000000" w:themeColor="text1"/>
          <w:sz w:val="24"/>
          <w:szCs w:val="24"/>
        </w:rPr>
        <w:t xml:space="preserve"> </w:t>
      </w:r>
      <w:r>
        <w:rPr>
          <w:rFonts w:ascii="Times New Roman" w:hAnsi="Times New Roman" w:cs="Times New Roman"/>
          <w:sz w:val="24"/>
          <w:szCs w:val="24"/>
        </w:rPr>
        <w:t>Hal tersebut sesuai dengan QS. Ibrahim ayat 41.</w:t>
      </w:r>
    </w:p>
    <w:p w:rsidR="00F411E2" w:rsidRDefault="00F411E2" w:rsidP="00F411E2">
      <w:pPr>
        <w:pStyle w:val="ListParagraph"/>
        <w:numPr>
          <w:ilvl w:val="0"/>
          <w:numId w:val="3"/>
        </w:numPr>
        <w:spacing w:line="480" w:lineRule="auto"/>
        <w:jc w:val="both"/>
        <w:rPr>
          <w:rFonts w:ascii="Times New Roman" w:hAnsi="Times New Roman" w:cs="Times New Roman"/>
          <w:sz w:val="24"/>
          <w:szCs w:val="24"/>
        </w:rPr>
      </w:pPr>
      <w:r>
        <w:rPr>
          <w:rFonts w:asciiTheme="majorBidi" w:hAnsiTheme="majorBidi" w:cstheme="majorBidi"/>
          <w:i/>
          <w:sz w:val="24"/>
          <w:szCs w:val="24"/>
        </w:rPr>
        <w:t xml:space="preserve">Responsibility </w:t>
      </w:r>
      <w:r w:rsidRPr="004F17C3">
        <w:rPr>
          <w:rFonts w:asciiTheme="majorBidi" w:hAnsiTheme="majorBidi" w:cstheme="majorBidi"/>
          <w:color w:val="000000" w:themeColor="text1"/>
          <w:sz w:val="24"/>
          <w:szCs w:val="24"/>
        </w:rPr>
        <w:t>BPRS Lantabur Tebuireng</w:t>
      </w:r>
      <w:r w:rsidRPr="004F17C3">
        <w:rPr>
          <w:rFonts w:ascii="Times New Roman" w:hAnsi="Times New Roman" w:cs="Times New Roman"/>
          <w:sz w:val="24"/>
          <w:szCs w:val="24"/>
        </w:rPr>
        <w:t xml:space="preserve"> </w:t>
      </w:r>
      <w:r>
        <w:rPr>
          <w:rFonts w:ascii="Times New Roman" w:hAnsi="Times New Roman" w:cs="Times New Roman"/>
          <w:sz w:val="24"/>
          <w:szCs w:val="24"/>
        </w:rPr>
        <w:t xml:space="preserve">yaitu dengan </w:t>
      </w:r>
      <w:proofErr w:type="gramStart"/>
      <w:r w:rsidRPr="004F17C3">
        <w:rPr>
          <w:rFonts w:ascii="Times New Roman" w:hAnsi="Times New Roman" w:cs="Times New Roman"/>
          <w:sz w:val="24"/>
          <w:szCs w:val="24"/>
        </w:rPr>
        <w:t>melakukan  kepatuhannya</w:t>
      </w:r>
      <w:proofErr w:type="gramEnd"/>
      <w:r w:rsidRPr="004F17C3">
        <w:rPr>
          <w:rFonts w:ascii="Times New Roman" w:hAnsi="Times New Roman" w:cs="Times New Roman"/>
          <w:sz w:val="24"/>
          <w:szCs w:val="24"/>
        </w:rPr>
        <w:t xml:space="preserve">  kepada UU yang berlaku yang dikeluarkan oleh BI sebagai regulator dan fatwa DPS dan DS</w:t>
      </w:r>
      <w:r>
        <w:rPr>
          <w:rFonts w:ascii="Times New Roman" w:hAnsi="Times New Roman" w:cs="Times New Roman"/>
          <w:sz w:val="24"/>
          <w:szCs w:val="24"/>
        </w:rPr>
        <w:t>N  sebagai  pengawas  syariah. Selain itu juga memberikan pertanggungjawaban kepada karyawan dengan baik. Hal tersebut sesuai dengan QS. Al- Isra’ ayat 36.</w:t>
      </w:r>
    </w:p>
    <w:p w:rsidR="00F411E2" w:rsidRDefault="00F411E2" w:rsidP="00F411E2">
      <w:pPr>
        <w:pStyle w:val="ListParagraph"/>
        <w:numPr>
          <w:ilvl w:val="0"/>
          <w:numId w:val="3"/>
        </w:numPr>
        <w:spacing w:line="480" w:lineRule="auto"/>
        <w:jc w:val="both"/>
        <w:rPr>
          <w:rFonts w:ascii="Times New Roman" w:hAnsi="Times New Roman" w:cs="Times New Roman"/>
          <w:sz w:val="24"/>
          <w:szCs w:val="24"/>
        </w:rPr>
      </w:pPr>
      <w:r w:rsidRPr="004F17C3">
        <w:rPr>
          <w:rFonts w:ascii="Times New Roman" w:hAnsi="Times New Roman" w:cs="Times New Roman"/>
          <w:sz w:val="24"/>
          <w:szCs w:val="24"/>
        </w:rPr>
        <w:t xml:space="preserve">Dalam  rangka  penerapan  GCG  perusahaan  harus  dikelola  secara </w:t>
      </w:r>
      <w:r w:rsidRPr="00877B6F">
        <w:rPr>
          <w:rFonts w:ascii="Times New Roman" w:hAnsi="Times New Roman" w:cs="Times New Roman"/>
          <w:i/>
          <w:sz w:val="24"/>
          <w:szCs w:val="24"/>
        </w:rPr>
        <w:t>independency</w:t>
      </w:r>
      <w:r w:rsidRPr="004F17C3">
        <w:rPr>
          <w:rFonts w:ascii="Times New Roman" w:hAnsi="Times New Roman" w:cs="Times New Roman"/>
          <w:sz w:val="24"/>
          <w:szCs w:val="24"/>
        </w:rPr>
        <w:t xml:space="preserve">  sehingga  masing-masing  insan  perusahaan  tidak  saling mendominasi dan tidak dapat diintervensi oleh pihak</w:t>
      </w:r>
      <w:r>
        <w:rPr>
          <w:rFonts w:ascii="Times New Roman" w:hAnsi="Times New Roman" w:cs="Times New Roman"/>
          <w:sz w:val="24"/>
          <w:szCs w:val="24"/>
        </w:rPr>
        <w:t xml:space="preserve"> </w:t>
      </w:r>
      <w:r w:rsidRPr="004F17C3">
        <w:rPr>
          <w:rFonts w:ascii="Times New Roman" w:hAnsi="Times New Roman" w:cs="Times New Roman"/>
          <w:sz w:val="24"/>
          <w:szCs w:val="24"/>
        </w:rPr>
        <w:t xml:space="preserve">lain. Dalam hal ini </w:t>
      </w:r>
      <w:r w:rsidRPr="004F17C3">
        <w:rPr>
          <w:rFonts w:asciiTheme="majorBidi" w:hAnsiTheme="majorBidi" w:cstheme="majorBidi"/>
          <w:color w:val="000000" w:themeColor="text1"/>
          <w:sz w:val="24"/>
          <w:szCs w:val="24"/>
        </w:rPr>
        <w:t>BPRS Lantabur Tebuireng</w:t>
      </w:r>
      <w:r w:rsidRPr="004F17C3">
        <w:rPr>
          <w:rFonts w:ascii="Times New Roman" w:hAnsi="Times New Roman" w:cs="Times New Roman"/>
          <w:sz w:val="24"/>
          <w:szCs w:val="24"/>
        </w:rPr>
        <w:t xml:space="preserve"> </w:t>
      </w:r>
      <w:proofErr w:type="gramStart"/>
      <w:r w:rsidRPr="004F17C3">
        <w:rPr>
          <w:rFonts w:ascii="Times New Roman" w:hAnsi="Times New Roman" w:cs="Times New Roman"/>
          <w:sz w:val="24"/>
          <w:szCs w:val="24"/>
        </w:rPr>
        <w:t>bebas  dari</w:t>
      </w:r>
      <w:proofErr w:type="gramEnd"/>
      <w:r w:rsidRPr="004F17C3">
        <w:rPr>
          <w:rFonts w:ascii="Times New Roman" w:hAnsi="Times New Roman" w:cs="Times New Roman"/>
          <w:sz w:val="24"/>
          <w:szCs w:val="24"/>
        </w:rPr>
        <w:t xml:space="preserve">  benturan  kepentingan  (</w:t>
      </w:r>
      <w:r w:rsidRPr="00DF455E">
        <w:rPr>
          <w:rFonts w:ascii="Times New Roman" w:hAnsi="Times New Roman" w:cs="Times New Roman"/>
          <w:i/>
          <w:sz w:val="24"/>
          <w:szCs w:val="24"/>
        </w:rPr>
        <w:t>Conflict  of  Interest</w:t>
      </w:r>
      <w:r>
        <w:rPr>
          <w:rFonts w:ascii="Times New Roman" w:hAnsi="Times New Roman" w:cs="Times New Roman"/>
          <w:sz w:val="24"/>
          <w:szCs w:val="24"/>
        </w:rPr>
        <w:t xml:space="preserve">). </w:t>
      </w:r>
      <w:r w:rsidRPr="004F17C3">
        <w:rPr>
          <w:rFonts w:asciiTheme="majorBidi" w:hAnsiTheme="majorBidi" w:cstheme="majorBidi"/>
          <w:color w:val="000000" w:themeColor="text1"/>
          <w:sz w:val="24"/>
          <w:szCs w:val="24"/>
        </w:rPr>
        <w:t>BPRS Lantabur Tebuireng</w:t>
      </w:r>
      <w:r w:rsidRPr="004F17C3">
        <w:rPr>
          <w:rFonts w:ascii="Times New Roman" w:hAnsi="Times New Roman" w:cs="Times New Roman"/>
          <w:sz w:val="24"/>
          <w:szCs w:val="24"/>
        </w:rPr>
        <w:t xml:space="preserve"> </w:t>
      </w:r>
      <w:proofErr w:type="gramStart"/>
      <w:r w:rsidRPr="004F17C3">
        <w:rPr>
          <w:rFonts w:ascii="Times New Roman" w:hAnsi="Times New Roman" w:cs="Times New Roman"/>
          <w:sz w:val="24"/>
          <w:szCs w:val="24"/>
        </w:rPr>
        <w:t>juga  diwajibkan</w:t>
      </w:r>
      <w:proofErr w:type="gramEnd"/>
      <w:r w:rsidRPr="004F17C3">
        <w:rPr>
          <w:rFonts w:ascii="Times New Roman" w:hAnsi="Times New Roman" w:cs="Times New Roman"/>
          <w:sz w:val="24"/>
          <w:szCs w:val="24"/>
        </w:rPr>
        <w:t xml:space="preserve">  menjaga  rahasia nasa</w:t>
      </w:r>
      <w:r>
        <w:rPr>
          <w:rFonts w:ascii="Times New Roman" w:hAnsi="Times New Roman" w:cs="Times New Roman"/>
          <w:sz w:val="24"/>
          <w:szCs w:val="24"/>
        </w:rPr>
        <w:t xml:space="preserve">bah  dan  transaksi  keuangan. </w:t>
      </w:r>
      <w:r w:rsidRPr="004F17C3">
        <w:rPr>
          <w:rFonts w:ascii="Times New Roman" w:hAnsi="Times New Roman" w:cs="Times New Roman"/>
          <w:sz w:val="24"/>
          <w:szCs w:val="24"/>
        </w:rPr>
        <w:t xml:space="preserve">Independensi  ini  juga  berkaitan  dengan  keputusan  pembiayaan yang  diwujudkan  dengan  keputusan  pengambilan  pembiayaan  </w:t>
      </w:r>
      <w:r w:rsidRPr="004F17C3">
        <w:rPr>
          <w:rFonts w:ascii="Times New Roman" w:hAnsi="Times New Roman" w:cs="Times New Roman"/>
          <w:sz w:val="24"/>
          <w:szCs w:val="24"/>
        </w:rPr>
        <w:lastRenderedPageBreak/>
        <w:t>den</w:t>
      </w:r>
      <w:r>
        <w:rPr>
          <w:rFonts w:ascii="Times New Roman" w:hAnsi="Times New Roman" w:cs="Times New Roman"/>
          <w:sz w:val="24"/>
          <w:szCs w:val="24"/>
        </w:rPr>
        <w:t>gan menganalisa 5C dan 7A. Hal tersebut sesuai dengan QS. Asy- Syura ayat 38.</w:t>
      </w:r>
    </w:p>
    <w:p w:rsidR="00F411E2" w:rsidRPr="008B5E80" w:rsidRDefault="00F411E2" w:rsidP="00F411E2">
      <w:pPr>
        <w:pStyle w:val="ListParagraph"/>
        <w:numPr>
          <w:ilvl w:val="0"/>
          <w:numId w:val="3"/>
        </w:numPr>
        <w:spacing w:line="480" w:lineRule="auto"/>
        <w:jc w:val="both"/>
        <w:rPr>
          <w:rFonts w:ascii="Times New Roman" w:hAnsi="Times New Roman" w:cs="Times New Roman"/>
          <w:sz w:val="24"/>
          <w:szCs w:val="24"/>
        </w:rPr>
      </w:pPr>
      <w:r w:rsidRPr="00304154">
        <w:rPr>
          <w:rFonts w:asciiTheme="majorBidi" w:hAnsiTheme="majorBidi" w:cstheme="majorBidi"/>
          <w:color w:val="000000" w:themeColor="text1"/>
          <w:sz w:val="24"/>
          <w:szCs w:val="24"/>
        </w:rPr>
        <w:t xml:space="preserve">Aspek  </w:t>
      </w:r>
      <w:r w:rsidRPr="00304154">
        <w:rPr>
          <w:rFonts w:asciiTheme="majorBidi" w:hAnsiTheme="majorBidi" w:cstheme="majorBidi"/>
          <w:i/>
          <w:color w:val="000000" w:themeColor="text1"/>
          <w:sz w:val="24"/>
          <w:szCs w:val="24"/>
        </w:rPr>
        <w:t xml:space="preserve">fairness </w:t>
      </w:r>
      <w:r w:rsidRPr="00304154">
        <w:rPr>
          <w:rFonts w:asciiTheme="majorBidi" w:hAnsiTheme="majorBidi" w:cstheme="majorBidi"/>
          <w:color w:val="000000" w:themeColor="text1"/>
          <w:sz w:val="24"/>
          <w:szCs w:val="24"/>
        </w:rPr>
        <w:t>BPRS Lantabur Tebuireng</w:t>
      </w:r>
      <w:r w:rsidRPr="00304154">
        <w:rPr>
          <w:rFonts w:ascii="Times New Roman" w:hAnsi="Times New Roman" w:cs="Times New Roman"/>
          <w:sz w:val="24"/>
          <w:szCs w:val="24"/>
        </w:rPr>
        <w:t xml:space="preserve"> salah  satunya dengan menyajikan informasi  yang  wajar  kepada  nasabah  sekalu </w:t>
      </w:r>
      <w:r w:rsidRPr="00304154">
        <w:rPr>
          <w:rFonts w:ascii="Times New Roman" w:hAnsi="Times New Roman" w:cs="Times New Roman"/>
          <w:i/>
          <w:sz w:val="24"/>
          <w:szCs w:val="24"/>
        </w:rPr>
        <w:t>Stakeholders</w:t>
      </w:r>
      <w:r w:rsidRPr="00304154">
        <w:rPr>
          <w:rFonts w:ascii="Times New Roman" w:hAnsi="Times New Roman" w:cs="Times New Roman"/>
          <w:sz w:val="24"/>
          <w:szCs w:val="24"/>
        </w:rPr>
        <w:t xml:space="preserve">  Bank  yang  dilakukan  </w:t>
      </w:r>
      <w:r w:rsidRPr="00304154">
        <w:rPr>
          <w:rFonts w:asciiTheme="majorBidi" w:hAnsiTheme="majorBidi" w:cstheme="majorBidi"/>
          <w:color w:val="000000" w:themeColor="text1"/>
          <w:sz w:val="24"/>
          <w:szCs w:val="24"/>
        </w:rPr>
        <w:t>BPRS Lantabur Tebuireng</w:t>
      </w:r>
      <w:r w:rsidRPr="00304154">
        <w:rPr>
          <w:rFonts w:ascii="Times New Roman" w:hAnsi="Times New Roman" w:cs="Times New Roman"/>
          <w:sz w:val="24"/>
          <w:szCs w:val="24"/>
        </w:rPr>
        <w:t xml:space="preserve"> adalah penyantuman  informasi  yang  wajar  kepada  nasabah  tentang  bagi  hasil, pendapatan dari bank. Disini nasabah selaku investor harus diberi informasi yang  wajar,  sehingga  nasabah  dapat  mengetahui  dan  mempertimbangkan risiko  yang  mungkin  akan  dihadapi  apabila  meninvestasikan  dananya  di </w:t>
      </w:r>
      <w:r w:rsidRPr="00F8626B">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 xml:space="preserve">. </w:t>
      </w:r>
      <w:r>
        <w:rPr>
          <w:rFonts w:ascii="Times New Roman" w:hAnsi="Times New Roman" w:cs="Times New Roman"/>
          <w:sz w:val="24"/>
          <w:szCs w:val="24"/>
        </w:rPr>
        <w:t>Hal tersebut sesuai dengan QS. Asy- Syura ayat 182- 183.</w:t>
      </w:r>
    </w:p>
    <w:p w:rsidR="002D75CD" w:rsidRDefault="002D75CD" w:rsidP="002D75CD">
      <w:pPr>
        <w:pStyle w:val="ListParagraph"/>
        <w:numPr>
          <w:ilvl w:val="0"/>
          <w:numId w:val="5"/>
        </w:numPr>
        <w:spacing w:line="480" w:lineRule="auto"/>
        <w:ind w:left="426"/>
        <w:jc w:val="both"/>
        <w:rPr>
          <w:rFonts w:ascii="Times New Roman" w:hAnsi="Times New Roman" w:cs="Times New Roman"/>
          <w:sz w:val="24"/>
          <w:szCs w:val="24"/>
        </w:rPr>
      </w:pPr>
      <w:r w:rsidRPr="00F8626B">
        <w:rPr>
          <w:rFonts w:ascii="Times New Roman" w:hAnsi="Times New Roman" w:cs="Times New Roman"/>
          <w:sz w:val="24"/>
          <w:szCs w:val="24"/>
        </w:rPr>
        <w:t xml:space="preserve">Analisis </w:t>
      </w:r>
      <w:r w:rsidRPr="00F8626B">
        <w:rPr>
          <w:rFonts w:asciiTheme="majorBidi" w:hAnsiTheme="majorBidi" w:cstheme="majorBidi"/>
          <w:color w:val="000000" w:themeColor="text1"/>
          <w:sz w:val="24"/>
          <w:szCs w:val="24"/>
        </w:rPr>
        <w:t xml:space="preserve">implementasi </w:t>
      </w:r>
      <w:r w:rsidRPr="00F8626B">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 xml:space="preserve">(GCG) dalam manajemen </w:t>
      </w:r>
      <w:r w:rsidRPr="00F8626B">
        <w:rPr>
          <w:rFonts w:asciiTheme="majorBidi" w:hAnsiTheme="majorBidi" w:cstheme="majorBidi"/>
          <w:color w:val="000000" w:themeColor="text1"/>
          <w:sz w:val="24"/>
          <w:szCs w:val="24"/>
        </w:rPr>
        <w:t xml:space="preserve">risiko pembiayaan di BPRS Lantabur Tebuireng </w:t>
      </w:r>
      <w:r>
        <w:rPr>
          <w:rFonts w:asciiTheme="majorBidi" w:hAnsiTheme="majorBidi"/>
          <w:sz w:val="24"/>
          <w:szCs w:val="24"/>
        </w:rPr>
        <w:t xml:space="preserve">telah melakukan prinsip- prinsip </w:t>
      </w:r>
      <w:r w:rsidRPr="00DB59D8">
        <w:rPr>
          <w:rFonts w:asciiTheme="majorBidi" w:hAnsiTheme="majorBidi"/>
          <w:i/>
          <w:sz w:val="24"/>
          <w:szCs w:val="24"/>
        </w:rPr>
        <w:t>Good Corporate</w:t>
      </w:r>
      <w:r w:rsidRPr="00DB59D8">
        <w:rPr>
          <w:rFonts w:asciiTheme="majorBidi" w:hAnsiTheme="majorBidi"/>
          <w:sz w:val="24"/>
          <w:szCs w:val="24"/>
        </w:rPr>
        <w:t xml:space="preserve"> </w:t>
      </w:r>
      <w:r w:rsidRPr="00DB59D8">
        <w:rPr>
          <w:rFonts w:asciiTheme="majorBidi" w:hAnsiTheme="majorBidi"/>
          <w:i/>
          <w:sz w:val="24"/>
          <w:szCs w:val="24"/>
        </w:rPr>
        <w:t>Governance</w:t>
      </w:r>
      <w:r>
        <w:rPr>
          <w:rFonts w:asciiTheme="majorBidi" w:hAnsiTheme="majorBidi"/>
          <w:sz w:val="24"/>
          <w:szCs w:val="24"/>
        </w:rPr>
        <w:t xml:space="preserve"> (GCG) dengan baik. Namun dari prinsip </w:t>
      </w:r>
      <w:r w:rsidRPr="000D4F65">
        <w:rPr>
          <w:rFonts w:ascii="Times New Roman" w:hAnsi="Times New Roman"/>
          <w:bCs/>
          <w:sz w:val="24"/>
          <w:szCs w:val="24"/>
        </w:rPr>
        <w:t>independensi (</w:t>
      </w:r>
      <w:r w:rsidRPr="000D4F65">
        <w:rPr>
          <w:rFonts w:ascii="Times New Roman" w:hAnsi="Times New Roman"/>
          <w:bCs/>
          <w:i/>
          <w:sz w:val="24"/>
          <w:szCs w:val="24"/>
        </w:rPr>
        <w:t>independency</w:t>
      </w:r>
      <w:r>
        <w:rPr>
          <w:rFonts w:ascii="Times New Roman" w:hAnsi="Times New Roman"/>
          <w:bCs/>
          <w:sz w:val="24"/>
          <w:szCs w:val="24"/>
        </w:rPr>
        <w:t xml:space="preserve">) dalam pengambilan keputusan pembiayaan dengan menganalisa </w:t>
      </w:r>
      <w:r>
        <w:rPr>
          <w:rFonts w:asciiTheme="majorBidi" w:hAnsiTheme="majorBidi"/>
          <w:sz w:val="24"/>
          <w:szCs w:val="24"/>
        </w:rPr>
        <w:t xml:space="preserve">5C dan 7A yang masih kurang efektif. </w:t>
      </w:r>
      <w:r>
        <w:rPr>
          <w:rFonts w:ascii="Times New Roman" w:hAnsi="Times New Roman" w:cs="Times New Roman"/>
          <w:sz w:val="24"/>
          <w:szCs w:val="24"/>
        </w:rPr>
        <w:t>H</w:t>
      </w:r>
      <w:r w:rsidRPr="007C509A">
        <w:rPr>
          <w:rFonts w:ascii="Times New Roman" w:hAnsi="Times New Roman" w:cs="Times New Roman"/>
          <w:sz w:val="24"/>
          <w:szCs w:val="24"/>
        </w:rPr>
        <w:t>al itu bisa dilihat dari tingkat prosentase NPF yang masih realatif tinggi yakni diatas 5</w:t>
      </w:r>
      <w:proofErr w:type="gramStart"/>
      <w:r w:rsidRPr="007C509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Al- Luqman ayat 34 Allah memerintahkan untuk melakukan perencanaan, perhitungan dan manajemen yang tepat agar ketidakpastian dapat dihadapi dengan baik. Namun </w:t>
      </w:r>
      <w:r w:rsidRPr="00F8626B">
        <w:rPr>
          <w:rFonts w:asciiTheme="majorBidi" w:hAnsiTheme="majorBidi" w:cstheme="majorBidi"/>
          <w:color w:val="000000" w:themeColor="text1"/>
          <w:sz w:val="24"/>
          <w:szCs w:val="24"/>
        </w:rPr>
        <w:t>BPRS Lantabur Tebuiren</w:t>
      </w:r>
      <w:r>
        <w:rPr>
          <w:rFonts w:asciiTheme="majorBidi" w:hAnsiTheme="majorBidi" w:cstheme="majorBidi"/>
          <w:color w:val="000000" w:themeColor="text1"/>
          <w:sz w:val="24"/>
          <w:szCs w:val="24"/>
        </w:rPr>
        <w:t xml:space="preserve">g masih belum menerapkannya yang sesuai dengan </w:t>
      </w:r>
      <w:r>
        <w:rPr>
          <w:rFonts w:ascii="Times New Roman" w:hAnsi="Times New Roman" w:cs="Times New Roman"/>
          <w:sz w:val="24"/>
          <w:szCs w:val="24"/>
        </w:rPr>
        <w:t>Al- Luqman ayat 34. Sehingga berakibat pada tinnginya tingkat NPF.</w:t>
      </w:r>
    </w:p>
    <w:p w:rsidR="002D75CD" w:rsidRDefault="002D75CD" w:rsidP="002D75CD">
      <w:pPr>
        <w:pStyle w:val="ListParagraph"/>
        <w:spacing w:line="480" w:lineRule="auto"/>
        <w:ind w:left="426"/>
        <w:jc w:val="both"/>
        <w:rPr>
          <w:rFonts w:ascii="Times New Roman" w:hAnsi="Times New Roman" w:cs="Times New Roman"/>
          <w:sz w:val="24"/>
          <w:szCs w:val="24"/>
        </w:rPr>
      </w:pPr>
    </w:p>
    <w:p w:rsidR="00F411E2" w:rsidRPr="002D75CD" w:rsidRDefault="00F411E2" w:rsidP="00F411E2">
      <w:pPr>
        <w:pStyle w:val="ListParagraph"/>
        <w:numPr>
          <w:ilvl w:val="0"/>
          <w:numId w:val="1"/>
        </w:numPr>
        <w:spacing w:line="480" w:lineRule="auto"/>
        <w:ind w:left="426"/>
        <w:jc w:val="both"/>
        <w:rPr>
          <w:rFonts w:ascii="Times New Roman" w:hAnsi="Times New Roman" w:cs="Times New Roman"/>
          <w:b/>
          <w:sz w:val="24"/>
          <w:szCs w:val="24"/>
        </w:rPr>
      </w:pPr>
      <w:r w:rsidRPr="002D75CD">
        <w:rPr>
          <w:rFonts w:ascii="Times New Roman" w:hAnsi="Times New Roman" w:cs="Times New Roman"/>
          <w:b/>
          <w:sz w:val="24"/>
          <w:szCs w:val="24"/>
        </w:rPr>
        <w:lastRenderedPageBreak/>
        <w:t>SARAN</w:t>
      </w:r>
    </w:p>
    <w:p w:rsidR="00F411E2" w:rsidRDefault="00F411E2" w:rsidP="00F411E2">
      <w:pPr>
        <w:pStyle w:val="ListParagraph"/>
        <w:spacing w:line="480" w:lineRule="auto"/>
        <w:ind w:left="0" w:firstLine="709"/>
        <w:jc w:val="both"/>
        <w:rPr>
          <w:rFonts w:ascii="Times New Roman" w:hAnsi="Times New Roman" w:cs="Times New Roman"/>
          <w:sz w:val="24"/>
          <w:szCs w:val="24"/>
        </w:rPr>
      </w:pPr>
      <w:proofErr w:type="gramStart"/>
      <w:r w:rsidRPr="00304154">
        <w:rPr>
          <w:rFonts w:ascii="Times New Roman" w:hAnsi="Times New Roman" w:cs="Times New Roman"/>
          <w:sz w:val="24"/>
          <w:szCs w:val="24"/>
        </w:rPr>
        <w:t>Beberapa saran yang diberikan oleh peneliti sehubungan dengan penerapan prinsip-prinsip GCG.</w:t>
      </w:r>
      <w:proofErr w:type="gramEnd"/>
      <w:r w:rsidRPr="00304154">
        <w:rPr>
          <w:rFonts w:ascii="Times New Roman" w:hAnsi="Times New Roman" w:cs="Times New Roman"/>
          <w:sz w:val="24"/>
          <w:szCs w:val="24"/>
        </w:rPr>
        <w:t xml:space="preserve"> </w:t>
      </w:r>
    </w:p>
    <w:p w:rsidR="00F411E2" w:rsidRDefault="00F411E2" w:rsidP="00F411E2">
      <w:pPr>
        <w:pStyle w:val="ListParagraph"/>
        <w:numPr>
          <w:ilvl w:val="0"/>
          <w:numId w:val="4"/>
        </w:numPr>
        <w:spacing w:line="480" w:lineRule="auto"/>
        <w:jc w:val="both"/>
        <w:rPr>
          <w:rFonts w:ascii="Times New Roman" w:hAnsi="Times New Roman" w:cs="Times New Roman"/>
          <w:sz w:val="24"/>
          <w:szCs w:val="24"/>
        </w:rPr>
      </w:pPr>
      <w:proofErr w:type="gramStart"/>
      <w:r w:rsidRPr="00F8626B">
        <w:rPr>
          <w:rFonts w:ascii="Times New Roman" w:hAnsi="Times New Roman" w:cs="Times New Roman"/>
          <w:sz w:val="24"/>
          <w:szCs w:val="24"/>
        </w:rPr>
        <w:t>Dalam  menerapkan</w:t>
      </w:r>
      <w:proofErr w:type="gramEnd"/>
      <w:r w:rsidRPr="00F8626B">
        <w:rPr>
          <w:rFonts w:ascii="Times New Roman" w:hAnsi="Times New Roman" w:cs="Times New Roman"/>
          <w:sz w:val="24"/>
          <w:szCs w:val="24"/>
        </w:rPr>
        <w:t xml:space="preserve">  </w:t>
      </w:r>
      <w:r w:rsidRPr="00F8626B">
        <w:rPr>
          <w:rFonts w:ascii="Times New Roman" w:hAnsi="Times New Roman" w:cs="Times New Roman"/>
          <w:i/>
          <w:sz w:val="24"/>
          <w:szCs w:val="24"/>
        </w:rPr>
        <w:t>Good  Corporate  Governance</w:t>
      </w:r>
      <w:r w:rsidRPr="00F8626B">
        <w:rPr>
          <w:rFonts w:ascii="Times New Roman" w:hAnsi="Times New Roman" w:cs="Times New Roman"/>
          <w:sz w:val="24"/>
          <w:szCs w:val="24"/>
        </w:rPr>
        <w:t xml:space="preserve"> supervisi  harus  berjalan dengan efektif, karena keefektifan supervisi akan membawa dampak kepada memahaman </w:t>
      </w:r>
      <w:r w:rsidRPr="00F8626B">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sidRPr="00F8626B">
        <w:rPr>
          <w:rFonts w:ascii="Times New Roman" w:hAnsi="Times New Roman" w:cs="Times New Roman"/>
          <w:sz w:val="24"/>
          <w:szCs w:val="24"/>
        </w:rPr>
        <w:t xml:space="preserve">pada seluruh jajaran perusahaan. </w:t>
      </w:r>
    </w:p>
    <w:p w:rsidR="00F411E2" w:rsidRDefault="00F411E2" w:rsidP="00F411E2">
      <w:pPr>
        <w:pStyle w:val="ListParagraph"/>
        <w:numPr>
          <w:ilvl w:val="0"/>
          <w:numId w:val="4"/>
        </w:numPr>
        <w:spacing w:line="480" w:lineRule="auto"/>
        <w:jc w:val="both"/>
        <w:rPr>
          <w:rFonts w:ascii="Times New Roman" w:hAnsi="Times New Roman" w:cs="Times New Roman"/>
          <w:sz w:val="24"/>
          <w:szCs w:val="24"/>
        </w:rPr>
      </w:pPr>
      <w:r w:rsidRPr="00F8626B">
        <w:rPr>
          <w:rFonts w:ascii="Times New Roman" w:hAnsi="Times New Roman" w:cs="Times New Roman"/>
          <w:sz w:val="24"/>
          <w:szCs w:val="24"/>
        </w:rPr>
        <w:t xml:space="preserve">Dalam implementasi GCG terhadap pengelolaan manajemen risiko, </w:t>
      </w:r>
      <w:r w:rsidRPr="00304154">
        <w:rPr>
          <w:rFonts w:asciiTheme="majorBidi" w:hAnsiTheme="majorBidi" w:cstheme="majorBidi"/>
          <w:color w:val="000000" w:themeColor="text1"/>
          <w:sz w:val="24"/>
          <w:szCs w:val="24"/>
        </w:rPr>
        <w:t xml:space="preserve">BPRS Lantabur Tebuireng </w:t>
      </w:r>
      <w:r w:rsidR="002D75CD">
        <w:rPr>
          <w:rFonts w:ascii="Times New Roman" w:hAnsi="Times New Roman" w:cs="Times New Roman"/>
          <w:sz w:val="24"/>
          <w:szCs w:val="24"/>
        </w:rPr>
        <w:t xml:space="preserve">masih belum </w:t>
      </w:r>
      <w:proofErr w:type="gramStart"/>
      <w:r w:rsidRPr="00F8626B">
        <w:rPr>
          <w:rFonts w:ascii="Times New Roman" w:hAnsi="Times New Roman" w:cs="Times New Roman"/>
          <w:sz w:val="24"/>
          <w:szCs w:val="24"/>
        </w:rPr>
        <w:t>menerapkan  sesuai</w:t>
      </w:r>
      <w:proofErr w:type="gramEnd"/>
      <w:r w:rsidRPr="00F8626B">
        <w:rPr>
          <w:rFonts w:ascii="Times New Roman" w:hAnsi="Times New Roman" w:cs="Times New Roman"/>
          <w:sz w:val="24"/>
          <w:szCs w:val="24"/>
        </w:rPr>
        <w:t xml:space="preserve">  dengan  pedoman  dari  </w:t>
      </w:r>
      <w:r w:rsidRPr="00304154">
        <w:rPr>
          <w:rFonts w:asciiTheme="majorBidi" w:hAnsiTheme="majorBidi" w:cstheme="majorBidi"/>
          <w:color w:val="000000" w:themeColor="text1"/>
          <w:sz w:val="24"/>
          <w:szCs w:val="24"/>
        </w:rPr>
        <w:t xml:space="preserve">BPRS Lantabur Tebuireng </w:t>
      </w:r>
      <w:r w:rsidRPr="00F8626B">
        <w:rPr>
          <w:rFonts w:ascii="Times New Roman" w:hAnsi="Times New Roman" w:cs="Times New Roman"/>
          <w:sz w:val="24"/>
          <w:szCs w:val="24"/>
        </w:rPr>
        <w:t>Pusat. Oleh karena itu hendaknya perlu ditingkatkan.</w:t>
      </w:r>
    </w:p>
    <w:p w:rsidR="00F411E2" w:rsidRPr="00F8626B" w:rsidRDefault="00F411E2" w:rsidP="00F411E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peneliti selanjutnya, semoga dengan adanya penelitian yang peneliti teliti ini dapat dijadikan acuan penelitian selanjutnya.</w:t>
      </w:r>
    </w:p>
    <w:p w:rsidR="00F411E2" w:rsidRPr="00246AFB" w:rsidRDefault="00F411E2" w:rsidP="00F411E2">
      <w:pPr>
        <w:spacing w:line="480" w:lineRule="auto"/>
        <w:jc w:val="both"/>
        <w:rPr>
          <w:rFonts w:ascii="Times New Roman" w:hAnsi="Times New Roman" w:cs="Times New Roman"/>
          <w:b/>
          <w:sz w:val="24"/>
          <w:szCs w:val="24"/>
        </w:rPr>
      </w:pPr>
    </w:p>
    <w:p w:rsidR="00F411E2" w:rsidRPr="00E66988" w:rsidRDefault="00F411E2" w:rsidP="00F411E2">
      <w:pPr>
        <w:pStyle w:val="ListParagraph"/>
        <w:spacing w:after="0" w:line="480" w:lineRule="auto"/>
        <w:ind w:left="709"/>
        <w:jc w:val="both"/>
        <w:rPr>
          <w:rFonts w:asciiTheme="majorBidi" w:hAnsiTheme="majorBidi" w:cstheme="majorBidi"/>
          <w:b/>
          <w:sz w:val="24"/>
          <w:szCs w:val="24"/>
        </w:rPr>
      </w:pPr>
    </w:p>
    <w:p w:rsidR="00F411E2" w:rsidRPr="00E66988" w:rsidRDefault="00F411E2" w:rsidP="00F411E2">
      <w:pPr>
        <w:pStyle w:val="ListParagraph"/>
        <w:spacing w:after="0" w:line="480" w:lineRule="auto"/>
        <w:ind w:left="426"/>
        <w:jc w:val="both"/>
        <w:rPr>
          <w:rFonts w:ascii="Times New Roman" w:hAnsi="Times New Roman" w:cs="Times New Roman"/>
          <w:b/>
          <w:sz w:val="24"/>
          <w:szCs w:val="24"/>
        </w:rPr>
      </w:pPr>
    </w:p>
    <w:p w:rsidR="00FC5ED6" w:rsidRDefault="00FC5ED6"/>
    <w:sectPr w:rsidR="00FC5ED6" w:rsidSect="00174DBA">
      <w:headerReference w:type="default" r:id="rId8"/>
      <w:footerReference w:type="first" r:id="rId9"/>
      <w:pgSz w:w="11907" w:h="16839" w:code="9"/>
      <w:pgMar w:top="2268" w:right="1701" w:bottom="1701" w:left="2268" w:header="720" w:footer="720" w:gutter="0"/>
      <w:pgNumType w:start="1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52" w:rsidRDefault="00BC4652" w:rsidP="00BC4652">
      <w:pPr>
        <w:spacing w:after="0" w:line="240" w:lineRule="auto"/>
      </w:pPr>
      <w:r>
        <w:separator/>
      </w:r>
    </w:p>
  </w:endnote>
  <w:endnote w:type="continuationSeparator" w:id="0">
    <w:p w:rsidR="00BC4652" w:rsidRDefault="00BC4652" w:rsidP="00BC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97099"/>
      <w:docPartObj>
        <w:docPartGallery w:val="Page Numbers (Bottom of Page)"/>
        <w:docPartUnique/>
      </w:docPartObj>
    </w:sdtPr>
    <w:sdtEndPr>
      <w:rPr>
        <w:rFonts w:asciiTheme="majorBidi" w:hAnsiTheme="majorBidi" w:cstheme="majorBidi"/>
        <w:noProof/>
        <w:sz w:val="24"/>
        <w:szCs w:val="24"/>
      </w:rPr>
    </w:sdtEndPr>
    <w:sdtContent>
      <w:p w:rsidR="000E34E0" w:rsidRPr="000E34E0" w:rsidRDefault="000E34E0">
        <w:pPr>
          <w:pStyle w:val="Footer"/>
          <w:jc w:val="center"/>
          <w:rPr>
            <w:rFonts w:asciiTheme="majorBidi" w:hAnsiTheme="majorBidi" w:cstheme="majorBidi"/>
            <w:noProof/>
            <w:sz w:val="24"/>
            <w:szCs w:val="24"/>
          </w:rPr>
        </w:pPr>
        <w:r w:rsidRPr="000E34E0">
          <w:rPr>
            <w:rFonts w:asciiTheme="majorBidi" w:hAnsiTheme="majorBidi" w:cstheme="majorBidi"/>
            <w:noProof/>
            <w:sz w:val="24"/>
            <w:szCs w:val="24"/>
          </w:rPr>
          <w:fldChar w:fldCharType="begin"/>
        </w:r>
        <w:r w:rsidRPr="000E34E0">
          <w:rPr>
            <w:rFonts w:asciiTheme="majorBidi" w:hAnsiTheme="majorBidi" w:cstheme="majorBidi"/>
            <w:noProof/>
            <w:sz w:val="24"/>
            <w:szCs w:val="24"/>
          </w:rPr>
          <w:instrText xml:space="preserve"> PAGE   \* MERGEFORMAT </w:instrText>
        </w:r>
        <w:r w:rsidRPr="000E34E0">
          <w:rPr>
            <w:rFonts w:asciiTheme="majorBidi" w:hAnsiTheme="majorBidi" w:cstheme="majorBidi"/>
            <w:noProof/>
            <w:sz w:val="24"/>
            <w:szCs w:val="24"/>
          </w:rPr>
          <w:fldChar w:fldCharType="separate"/>
        </w:r>
        <w:r w:rsidR="00174DBA">
          <w:rPr>
            <w:rFonts w:asciiTheme="majorBidi" w:hAnsiTheme="majorBidi" w:cstheme="majorBidi"/>
            <w:noProof/>
            <w:sz w:val="24"/>
            <w:szCs w:val="24"/>
          </w:rPr>
          <w:t>158</w:t>
        </w:r>
        <w:r w:rsidRPr="000E34E0">
          <w:rPr>
            <w:rFonts w:asciiTheme="majorBidi" w:hAnsiTheme="majorBidi" w:cstheme="majorBidi"/>
            <w:noProof/>
            <w:sz w:val="24"/>
            <w:szCs w:val="24"/>
          </w:rPr>
          <w:fldChar w:fldCharType="end"/>
        </w:r>
      </w:p>
    </w:sdtContent>
  </w:sdt>
  <w:p w:rsidR="000E34E0" w:rsidRDefault="000E3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52" w:rsidRDefault="00BC4652" w:rsidP="00BC4652">
      <w:pPr>
        <w:spacing w:after="0" w:line="240" w:lineRule="auto"/>
      </w:pPr>
      <w:r>
        <w:separator/>
      </w:r>
    </w:p>
  </w:footnote>
  <w:footnote w:type="continuationSeparator" w:id="0">
    <w:p w:rsidR="00BC4652" w:rsidRDefault="00BC4652" w:rsidP="00BC4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285928"/>
      <w:docPartObj>
        <w:docPartGallery w:val="Page Numbers (Top of Page)"/>
        <w:docPartUnique/>
      </w:docPartObj>
    </w:sdtPr>
    <w:sdtEndPr>
      <w:rPr>
        <w:rFonts w:asciiTheme="majorBidi" w:hAnsiTheme="majorBidi" w:cstheme="majorBidi"/>
        <w:noProof/>
        <w:sz w:val="24"/>
        <w:szCs w:val="24"/>
      </w:rPr>
    </w:sdtEndPr>
    <w:sdtContent>
      <w:p w:rsidR="00BC4652" w:rsidRPr="00BC4652" w:rsidRDefault="00BC4652" w:rsidP="00BC4652">
        <w:pPr>
          <w:pStyle w:val="Header"/>
          <w:tabs>
            <w:tab w:val="left" w:pos="7114"/>
            <w:tab w:val="right" w:pos="7938"/>
          </w:tabs>
          <w:rPr>
            <w:rFonts w:asciiTheme="majorBidi" w:hAnsiTheme="majorBidi" w:cstheme="majorBidi"/>
            <w:sz w:val="24"/>
            <w:szCs w:val="24"/>
          </w:rPr>
        </w:pPr>
        <w:r>
          <w:tab/>
        </w:r>
        <w:r>
          <w:tab/>
        </w:r>
        <w:r>
          <w:tab/>
        </w:r>
        <w:r w:rsidRPr="00BC4652">
          <w:rPr>
            <w:rFonts w:asciiTheme="majorBidi" w:hAnsiTheme="majorBidi" w:cstheme="majorBidi"/>
            <w:sz w:val="24"/>
            <w:szCs w:val="24"/>
          </w:rPr>
          <w:fldChar w:fldCharType="begin"/>
        </w:r>
        <w:r w:rsidRPr="00BC4652">
          <w:rPr>
            <w:rFonts w:asciiTheme="majorBidi" w:hAnsiTheme="majorBidi" w:cstheme="majorBidi"/>
            <w:sz w:val="24"/>
            <w:szCs w:val="24"/>
          </w:rPr>
          <w:instrText xml:space="preserve"> PAGE   \* MERGEFORMAT </w:instrText>
        </w:r>
        <w:r w:rsidRPr="00BC4652">
          <w:rPr>
            <w:rFonts w:asciiTheme="majorBidi" w:hAnsiTheme="majorBidi" w:cstheme="majorBidi"/>
            <w:sz w:val="24"/>
            <w:szCs w:val="24"/>
          </w:rPr>
          <w:fldChar w:fldCharType="separate"/>
        </w:r>
        <w:r w:rsidR="00174DBA">
          <w:rPr>
            <w:rFonts w:asciiTheme="majorBidi" w:hAnsiTheme="majorBidi" w:cstheme="majorBidi"/>
            <w:noProof/>
            <w:sz w:val="24"/>
            <w:szCs w:val="24"/>
          </w:rPr>
          <w:t>161</w:t>
        </w:r>
        <w:r w:rsidRPr="00BC4652">
          <w:rPr>
            <w:rFonts w:asciiTheme="majorBidi" w:hAnsiTheme="majorBidi" w:cstheme="majorBidi"/>
            <w:noProof/>
            <w:sz w:val="24"/>
            <w:szCs w:val="24"/>
          </w:rPr>
          <w:fldChar w:fldCharType="end"/>
        </w:r>
      </w:p>
    </w:sdtContent>
  </w:sdt>
  <w:p w:rsidR="00BC4652" w:rsidRDefault="00BC4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343"/>
    <w:multiLevelType w:val="hybridMultilevel"/>
    <w:tmpl w:val="2724DF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62D48"/>
    <w:multiLevelType w:val="hybridMultilevel"/>
    <w:tmpl w:val="FD124EB8"/>
    <w:lvl w:ilvl="0" w:tplc="F16EA79E">
      <w:start w:val="2"/>
      <w:numFmt w:val="decimal"/>
      <w:lvlText w:val="%1)"/>
      <w:lvlJc w:val="left"/>
      <w:pPr>
        <w:ind w:left="1506" w:hanging="360"/>
      </w:pPr>
      <w:rPr>
        <w:rFonts w:asciiTheme="majorBidi" w:hAnsiTheme="majorBidi" w:cstheme="majorBidi" w:hint="default"/>
        <w:color w:val="000000" w:themeColor="text1"/>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1EF00A6B"/>
    <w:multiLevelType w:val="hybridMultilevel"/>
    <w:tmpl w:val="C038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77A2C"/>
    <w:multiLevelType w:val="hybridMultilevel"/>
    <w:tmpl w:val="73560EA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A9614F4"/>
    <w:multiLevelType w:val="hybridMultilevel"/>
    <w:tmpl w:val="E80CD1D6"/>
    <w:lvl w:ilvl="0" w:tplc="7B5886A2">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E2"/>
    <w:rsid w:val="000800DF"/>
    <w:rsid w:val="000A7B43"/>
    <w:rsid w:val="000E34E0"/>
    <w:rsid w:val="000F4CF1"/>
    <w:rsid w:val="00174DBA"/>
    <w:rsid w:val="001A3487"/>
    <w:rsid w:val="0021075E"/>
    <w:rsid w:val="00251A34"/>
    <w:rsid w:val="0028132C"/>
    <w:rsid w:val="002B784E"/>
    <w:rsid w:val="002D75CD"/>
    <w:rsid w:val="0033411C"/>
    <w:rsid w:val="00374B36"/>
    <w:rsid w:val="0039184A"/>
    <w:rsid w:val="003A0BE7"/>
    <w:rsid w:val="00512C44"/>
    <w:rsid w:val="00562988"/>
    <w:rsid w:val="005E7026"/>
    <w:rsid w:val="005F2B86"/>
    <w:rsid w:val="007B0758"/>
    <w:rsid w:val="007F01CC"/>
    <w:rsid w:val="008272DB"/>
    <w:rsid w:val="008E5683"/>
    <w:rsid w:val="008F4577"/>
    <w:rsid w:val="009304B1"/>
    <w:rsid w:val="009527E7"/>
    <w:rsid w:val="00986E3B"/>
    <w:rsid w:val="00997349"/>
    <w:rsid w:val="00A129FF"/>
    <w:rsid w:val="00AC2E44"/>
    <w:rsid w:val="00B02496"/>
    <w:rsid w:val="00B427E8"/>
    <w:rsid w:val="00B52708"/>
    <w:rsid w:val="00BC4652"/>
    <w:rsid w:val="00BD0854"/>
    <w:rsid w:val="00BF3EB0"/>
    <w:rsid w:val="00C009B9"/>
    <w:rsid w:val="00C44DC1"/>
    <w:rsid w:val="00CE1D69"/>
    <w:rsid w:val="00DB0220"/>
    <w:rsid w:val="00DC10A4"/>
    <w:rsid w:val="00E64D0F"/>
    <w:rsid w:val="00EA0F75"/>
    <w:rsid w:val="00EC6C7A"/>
    <w:rsid w:val="00EE6BAF"/>
    <w:rsid w:val="00F36D8A"/>
    <w:rsid w:val="00F411E2"/>
    <w:rsid w:val="00F774A3"/>
    <w:rsid w:val="00FA6248"/>
    <w:rsid w:val="00FC5ED6"/>
    <w:rsid w:val="00FC6F4D"/>
    <w:rsid w:val="00FE2796"/>
    <w:rsid w:val="00FF5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11E2"/>
    <w:pPr>
      <w:ind w:left="720"/>
      <w:contextualSpacing/>
    </w:pPr>
  </w:style>
  <w:style w:type="character" w:customStyle="1" w:styleId="ListParagraphChar">
    <w:name w:val="List Paragraph Char"/>
    <w:link w:val="ListParagraph"/>
    <w:uiPriority w:val="34"/>
    <w:locked/>
    <w:rsid w:val="00F411E2"/>
    <w:rPr>
      <w:rFonts w:eastAsiaTheme="minorEastAsia"/>
    </w:rPr>
  </w:style>
  <w:style w:type="paragraph" w:styleId="Header">
    <w:name w:val="header"/>
    <w:basedOn w:val="Normal"/>
    <w:link w:val="HeaderChar"/>
    <w:uiPriority w:val="99"/>
    <w:unhideWhenUsed/>
    <w:rsid w:val="00BC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52"/>
    <w:rPr>
      <w:rFonts w:eastAsiaTheme="minorEastAsia"/>
    </w:rPr>
  </w:style>
  <w:style w:type="paragraph" w:styleId="Footer">
    <w:name w:val="footer"/>
    <w:basedOn w:val="Normal"/>
    <w:link w:val="FooterChar"/>
    <w:uiPriority w:val="99"/>
    <w:unhideWhenUsed/>
    <w:rsid w:val="00BC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5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11E2"/>
    <w:pPr>
      <w:ind w:left="720"/>
      <w:contextualSpacing/>
    </w:pPr>
  </w:style>
  <w:style w:type="character" w:customStyle="1" w:styleId="ListParagraphChar">
    <w:name w:val="List Paragraph Char"/>
    <w:link w:val="ListParagraph"/>
    <w:uiPriority w:val="34"/>
    <w:locked/>
    <w:rsid w:val="00F411E2"/>
    <w:rPr>
      <w:rFonts w:eastAsiaTheme="minorEastAsia"/>
    </w:rPr>
  </w:style>
  <w:style w:type="paragraph" w:styleId="Header">
    <w:name w:val="header"/>
    <w:basedOn w:val="Normal"/>
    <w:link w:val="HeaderChar"/>
    <w:uiPriority w:val="99"/>
    <w:unhideWhenUsed/>
    <w:rsid w:val="00BC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52"/>
    <w:rPr>
      <w:rFonts w:eastAsiaTheme="minorEastAsia"/>
    </w:rPr>
  </w:style>
  <w:style w:type="paragraph" w:styleId="Footer">
    <w:name w:val="footer"/>
    <w:basedOn w:val="Normal"/>
    <w:link w:val="FooterChar"/>
    <w:uiPriority w:val="99"/>
    <w:unhideWhenUsed/>
    <w:rsid w:val="00BC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5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PROFESIONALPRINTING</cp:lastModifiedBy>
  <cp:revision>5</cp:revision>
  <cp:lastPrinted>2017-01-27T03:30:00Z</cp:lastPrinted>
  <dcterms:created xsi:type="dcterms:W3CDTF">2017-01-19T21:43:00Z</dcterms:created>
  <dcterms:modified xsi:type="dcterms:W3CDTF">2017-01-27T03:41:00Z</dcterms:modified>
</cp:coreProperties>
</file>