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ANALISA MAQASHID AL-SYARI’AH TERHADAP PERJANJIAN PERDAMAIAN DALAM PEMBAGIAN HARTA GONO GINI </w:t>
      </w:r>
    </w:p>
    <w:p w:rsidR="00000000" w:rsidDel="00000000" w:rsidP="00000000" w:rsidRDefault="00000000" w:rsidRPr="00000000" w14:paraId="00000002">
      <w:pPr>
        <w:pStyle w:val="Heading1"/>
        <w:spacing w:before="0" w:line="36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(STUDI KASUS PADA PERKARA GUGATAN DENGAN NOMOR 2020/Pdt..G/2019/PA.Kab.Kdr DALAM PERTEMUAN MEDIASI)</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Ahmad Sholakhudin Asy’ari</w:t>
      </w:r>
    </w:p>
    <w:p w:rsidR="00000000" w:rsidDel="00000000" w:rsidP="00000000" w:rsidRDefault="00000000" w:rsidRPr="00000000" w14:paraId="00000005">
      <w:pPr>
        <w:spacing w:after="0"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Institut Agama Islam Negeri Kediri</w:t>
      </w:r>
    </w:p>
    <w:p w:rsidR="00000000" w:rsidDel="00000000" w:rsidP="00000000" w:rsidRDefault="00000000" w:rsidRPr="00000000" w14:paraId="00000006">
      <w:pPr>
        <w:spacing w:after="0"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Email: </w:t>
      </w:r>
    </w:p>
    <w:p w:rsidR="00000000" w:rsidDel="00000000" w:rsidP="00000000" w:rsidRDefault="00000000" w:rsidRPr="00000000" w14:paraId="00000007">
      <w:pPr>
        <w:spacing w:after="0"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aasyariii67@gmail.com</w:t>
      </w:r>
    </w:p>
    <w:p w:rsidR="00000000" w:rsidDel="00000000" w:rsidP="00000000" w:rsidRDefault="00000000" w:rsidRPr="00000000" w14:paraId="000000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Abstract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From the perspectives of the Qur’an and Hadith, there is no explicit explanation regarding joint marital property. Therefore, this issue is particularly interesting to be examined as an addition to scientific knowledge within a contemporary context. Law emerges in response to new phenomena encountered by society that have not yet been regulated or governed by existing legal norms. Accordingly, to realize justice in divorce cases concerning the division of joint property, a clear and consistent formulation is required. In this regard, the author emphasizes the perspective of </w:t>
      </w:r>
      <w:r w:rsidDel="00000000" w:rsidR="00000000" w:rsidRPr="00000000">
        <w:rPr>
          <w:rFonts w:ascii="Times New Roman" w:cs="Times New Roman" w:eastAsia="Times New Roman" w:hAnsi="Times New Roman"/>
          <w:i w:val="1"/>
          <w:iCs w:val="1"/>
          <w:sz w:val="24"/>
          <w:szCs w:val="24"/>
          <w:rtl w:val="0"/>
        </w:rPr>
        <w:t xml:space="preserve">maqāṣid al-sharī‘ah</w:t>
      </w:r>
      <w:r w:rsidDel="00000000" w:rsidR="00000000" w:rsidRPr="00000000">
        <w:rPr>
          <w:rFonts w:ascii="Times New Roman" w:cs="Times New Roman" w:eastAsia="Times New Roman" w:hAnsi="Times New Roman"/>
          <w:sz w:val="24"/>
          <w:szCs w:val="24"/>
          <w:rtl w:val="0"/>
        </w:rPr>
        <w:t xml:space="preserve"> on the division of joint marital property. The research problems are formulated as follows: (1) What considerations are applied in the deed of settlement agreement in cases of joint property division? (2) How is the </w:t>
      </w:r>
      <w:r w:rsidDel="00000000" w:rsidR="00000000" w:rsidRPr="00000000">
        <w:rPr>
          <w:rFonts w:ascii="Times New Roman" w:cs="Times New Roman" w:eastAsia="Times New Roman" w:hAnsi="Times New Roman"/>
          <w:i w:val="1"/>
          <w:iCs w:val="1"/>
          <w:sz w:val="24"/>
          <w:szCs w:val="24"/>
          <w:rtl w:val="0"/>
        </w:rPr>
        <w:t xml:space="preserve">maqāṣid al-sharī‘ah</w:t>
      </w:r>
      <w:r w:rsidDel="00000000" w:rsidR="00000000" w:rsidRPr="00000000">
        <w:rPr>
          <w:rFonts w:ascii="Times New Roman" w:cs="Times New Roman" w:eastAsia="Times New Roman" w:hAnsi="Times New Roman"/>
          <w:sz w:val="24"/>
          <w:szCs w:val="24"/>
          <w:rtl w:val="0"/>
        </w:rPr>
        <w:t xml:space="preserve"> analysis of the settlement deed in a joint marital property lawsuit with Case Number 2020/Pdt.G/2019/PA.Kab.Kdr?</w:t>
      </w:r>
    </w:p>
    <w:p w:rsidR="00000000" w:rsidDel="00000000" w:rsidP="00000000" w:rsidRDefault="00000000" w:rsidRPr="00000000" w14:paraId="0000000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method employed in this study is qualitative research using an empirical juridical approach, intended to obtain clarity and understanding of the research problems based on existing realities. The data used consist of primary and secondary data. Data collection was carried out through interviews and documentation, while data analysis was conducted through data reduction, data presentation, and conclusion drawing.</w:t>
      </w:r>
    </w:p>
    <w:p w:rsidR="00000000" w:rsidDel="00000000" w:rsidP="00000000" w:rsidRDefault="00000000" w:rsidRPr="00000000" w14:paraId="0000000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indicate that, in Case Number 2020/Pdt.G/2019/PA.Kab.Kdr, the panel of judges considered the facts revealed during the trial, including witness testimonies and evidence presented by both the Plaintiff and the Defendant. The judges decided on the division of joint marital property in accordance with the peace agreement reached during mediation between the parties, grounding their consideration in the theory of distributive justice. Regarding child custody and the guarantee of the child’s livelihood after divorce, responsibility was assigned to the wife. From the perspective of </w:t>
      </w:r>
      <w:r w:rsidDel="00000000" w:rsidR="00000000" w:rsidRPr="00000000">
        <w:rPr>
          <w:rFonts w:ascii="Times New Roman" w:cs="Times New Roman" w:eastAsia="Times New Roman" w:hAnsi="Times New Roman"/>
          <w:i w:val="1"/>
          <w:iCs w:val="1"/>
          <w:sz w:val="24"/>
          <w:szCs w:val="24"/>
          <w:rtl w:val="0"/>
        </w:rPr>
        <w:t xml:space="preserve">maqāṣid al-sharī‘ah</w:t>
      </w:r>
      <w:r w:rsidDel="00000000" w:rsidR="00000000" w:rsidRPr="00000000">
        <w:rPr>
          <w:rFonts w:ascii="Times New Roman" w:cs="Times New Roman" w:eastAsia="Times New Roman" w:hAnsi="Times New Roman"/>
          <w:sz w:val="24"/>
          <w:szCs w:val="24"/>
          <w:rtl w:val="0"/>
        </w:rPr>
        <w:t xml:space="preserve">, the decision of the Kediri Regency Religious Court in Case Number 2020/Pdt.G/2019/PA.Kab.Kdr falls under the protection of property (</w:t>
      </w:r>
      <w:r w:rsidDel="00000000" w:rsidR="00000000" w:rsidRPr="00000000">
        <w:rPr>
          <w:rFonts w:ascii="Times New Roman" w:cs="Times New Roman" w:eastAsia="Times New Roman" w:hAnsi="Times New Roman"/>
          <w:i w:val="1"/>
          <w:iCs w:val="1"/>
          <w:sz w:val="24"/>
          <w:szCs w:val="24"/>
          <w:rtl w:val="0"/>
        </w:rPr>
        <w:t xml:space="preserve">ḥifẓ al-māl</w:t>
      </w:r>
      <w:r w:rsidDel="00000000" w:rsidR="00000000" w:rsidRPr="00000000">
        <w:rPr>
          <w:rFonts w:ascii="Times New Roman" w:cs="Times New Roman" w:eastAsia="Times New Roman" w:hAnsi="Times New Roman"/>
          <w:sz w:val="24"/>
          <w:szCs w:val="24"/>
          <w:rtl w:val="0"/>
        </w:rPr>
        <w:t xml:space="preserve">) at the level of </w:t>
      </w:r>
      <w:r w:rsidDel="00000000" w:rsidR="00000000" w:rsidRPr="00000000">
        <w:rPr>
          <w:rFonts w:ascii="Times New Roman" w:cs="Times New Roman" w:eastAsia="Times New Roman" w:hAnsi="Times New Roman"/>
          <w:i w:val="1"/>
          <w:iCs w:val="1"/>
          <w:sz w:val="24"/>
          <w:szCs w:val="24"/>
          <w:rtl w:val="0"/>
        </w:rPr>
        <w:t xml:space="preserve">ḍarūriyyāt</w:t>
      </w:r>
      <w:r w:rsidDel="00000000" w:rsidR="00000000" w:rsidRPr="00000000">
        <w:rPr>
          <w:rFonts w:ascii="Times New Roman" w:cs="Times New Roman" w:eastAsia="Times New Roman" w:hAnsi="Times New Roman"/>
          <w:sz w:val="24"/>
          <w:szCs w:val="24"/>
          <w:rtl w:val="0"/>
        </w:rPr>
        <w:t xml:space="preserve">. Viewed from this level, the division of joint property in this decision aims to preserve the existence of property whose ownership has become disputed, as such property fundamentally constitutes joint property between the Plaintiff (wife) and the Defendant (husband), which, following divorce, should be equitably divided between both parties.</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Maqāṣid al-Sharī‘ah</w:t>
      </w:r>
      <w:r w:rsidDel="00000000" w:rsidR="00000000" w:rsidRPr="00000000">
        <w:rPr>
          <w:rFonts w:ascii="Times New Roman" w:cs="Times New Roman" w:eastAsia="Times New Roman" w:hAnsi="Times New Roman"/>
          <w:sz w:val="24"/>
          <w:szCs w:val="24"/>
          <w:rtl w:val="0"/>
        </w:rPr>
        <w:t xml:space="preserve">, Joint Marital Property (Gono Gini), Mediation.</w:t>
      </w:r>
    </w:p>
    <w:p w:rsidR="00000000" w:rsidDel="00000000" w:rsidP="00000000" w:rsidRDefault="00000000" w:rsidRPr="00000000" w14:paraId="0000000C">
      <w:pPr>
        <w:spacing w:after="0"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Abstrak</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Melihat dari pandangan Al-Qur’an dan Hadits, tidak pernah dijelaskan didalamnya mengenai harta bersama. Oleh sebab itu, hal tersebut sangat menarik untuk diteliti sebagai ntambahan nwawasan ilmu pengetahuan berdasarkan konteks kontemporer. Sebab sebuah hukum akan tercipta apabila melihat fenomena baru yang dihadapi dan belum ada sebuah hukum yang menetapkan atau mengaturnya. Maka dari itu, untuk mewujudkan keadilan dalam perceraian tentang pembagian harta tersebut, diperlukan rumusan yang tetap terutama dalam hal ini penulis menekankan pada pandangan </w:t>
      </w:r>
      <w:r w:rsidDel="00000000" w:rsidR="00000000" w:rsidRPr="00000000">
        <w:rPr>
          <w:rFonts w:ascii="Times New Roman" w:cs="Times New Roman" w:eastAsia="Times New Roman" w:hAnsi="Times New Roman"/>
          <w:i w:val="1"/>
          <w:iCs w:val="1"/>
          <w:sz w:val="24"/>
          <w:szCs w:val="24"/>
          <w:rtl w:val="0"/>
        </w:rPr>
        <w:t xml:space="preserve">maqashid syariah </w:t>
      </w:r>
      <w:r w:rsidDel="00000000" w:rsidR="00000000" w:rsidRPr="00000000">
        <w:rPr>
          <w:rFonts w:ascii="Times New Roman" w:cs="Times New Roman" w:eastAsia="Times New Roman" w:hAnsi="Times New Roman"/>
          <w:sz w:val="24"/>
          <w:szCs w:val="24"/>
          <w:rtl w:val="0"/>
        </w:rPr>
        <w:t xml:space="preserve">terhadap adanya pembagian harta bersama, dalam perumusan masalah ini sebagai berikut (1) Bagaimana pertimbangan dalam akta perjanjian perdamaian perkara pembagian harta bersama? (2)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Bagaimana analisa maqashid al-syari’ah terhadap akta perdamaian dalam gugatan harta gono gini dengan nomor perkara 2020/pdt.g/2019/pa.kab.kdr?</w:t>
      </w:r>
    </w:p>
    <w:p w:rsidR="00000000" w:rsidDel="00000000" w:rsidP="00000000" w:rsidRDefault="00000000" w:rsidRPr="00000000" w14:paraId="0000000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Metode</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penelitian</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yang</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digunakan</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dalam</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penelitian</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ini</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adalah</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penelitian</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kualitatif,</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pendekatan</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yang</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gunakan</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dalam</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penelitian</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ini</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adalah</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pendeketan</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yuridis</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empiris</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yang</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dimaksudkan</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untuk</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memperoleh</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kejelasan</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dan</w:t>
      </w:r>
      <w:r w:rsidDel="00000000" w:rsidR="00000000" w:rsidRPr="00000000">
        <w:rPr>
          <w:rFonts w:ascii="Times New Roman" w:cs="Times New Roman" w:eastAsia="Times New Roman" w:hAnsi="Times New Roman"/>
          <w:color w:val="ffffff"/>
          <w:sz w:val="24"/>
          <w:szCs w:val="24"/>
          <w:rtl w:val="0"/>
        </w:rPr>
        <w:t xml:space="preserve"> i</w:t>
      </w:r>
      <w:r w:rsidDel="00000000" w:rsidR="00000000" w:rsidRPr="00000000">
        <w:rPr>
          <w:rFonts w:ascii="Times New Roman" w:cs="Times New Roman" w:eastAsia="Times New Roman" w:hAnsi="Times New Roman"/>
          <w:sz w:val="24"/>
          <w:szCs w:val="24"/>
          <w:rtl w:val="0"/>
        </w:rPr>
        <w:t xml:space="preserve">pemahaman</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dari</w:t>
      </w:r>
      <w:r w:rsidDel="00000000" w:rsidR="00000000" w:rsidRPr="00000000">
        <w:rPr>
          <w:rFonts w:ascii="Times New Roman" w:cs="Times New Roman" w:eastAsia="Times New Roman" w:hAnsi="Times New Roman"/>
          <w:color w:val="ffffff"/>
          <w:sz w:val="24"/>
          <w:szCs w:val="24"/>
          <w:rtl w:val="0"/>
        </w:rPr>
        <w:t xml:space="preserve"> i</w:t>
      </w:r>
      <w:r w:rsidDel="00000000" w:rsidR="00000000" w:rsidRPr="00000000">
        <w:rPr>
          <w:rFonts w:ascii="Times New Roman" w:cs="Times New Roman" w:eastAsia="Times New Roman" w:hAnsi="Times New Roman"/>
          <w:sz w:val="24"/>
          <w:szCs w:val="24"/>
          <w:rtl w:val="0"/>
        </w:rPr>
        <w:t xml:space="preserve">permasalahan</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dalam</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penelitian</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berdasarkan</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realitas</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yang</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ada,</w:t>
      </w:r>
      <w:r w:rsidDel="00000000" w:rsidR="00000000" w:rsidRPr="00000000">
        <w:rPr>
          <w:rFonts w:ascii="Times New Roman" w:cs="Times New Roman" w:eastAsia="Times New Roman" w:hAnsi="Times New Roman"/>
          <w:color w:val="ffffff"/>
          <w:sz w:val="24"/>
          <w:szCs w:val="24"/>
          <w:rtl w:val="0"/>
        </w:rPr>
        <w:t xml:space="preserve">i</w:t>
      </w:r>
      <w:r w:rsidDel="00000000" w:rsidR="00000000" w:rsidRPr="00000000">
        <w:rPr>
          <w:rFonts w:ascii="Times New Roman" w:cs="Times New Roman" w:eastAsia="Times New Roman" w:hAnsi="Times New Roman"/>
          <w:sz w:val="24"/>
          <w:szCs w:val="24"/>
          <w:rtl w:val="0"/>
        </w:rPr>
        <w:t xml:space="preserve">data</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yang</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digunakan</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adalah data</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primer</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dan</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data</w:t>
      </w:r>
      <w:r w:rsidDel="00000000" w:rsidR="00000000" w:rsidRPr="00000000">
        <w:rPr>
          <w:rFonts w:ascii="Times New Roman" w:cs="Times New Roman" w:eastAsia="Times New Roman" w:hAnsi="Times New Roman"/>
          <w:color w:val="ffffff"/>
          <w:sz w:val="24"/>
          <w:szCs w:val="24"/>
          <w:rtl w:val="0"/>
        </w:rPr>
        <w:t xml:space="preserve"> i</w:t>
      </w:r>
      <w:r w:rsidDel="00000000" w:rsidR="00000000" w:rsidRPr="00000000">
        <w:rPr>
          <w:rFonts w:ascii="Times New Roman" w:cs="Times New Roman" w:eastAsia="Times New Roman" w:hAnsi="Times New Roman"/>
          <w:sz w:val="24"/>
          <w:szCs w:val="24"/>
          <w:rtl w:val="0"/>
        </w:rPr>
        <w:t xml:space="preserve">sekunder,</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pengumpulan</w:t>
      </w:r>
      <w:r w:rsidDel="00000000" w:rsidR="00000000" w:rsidRPr="00000000">
        <w:rPr>
          <w:rFonts w:ascii="Times New Roman" w:cs="Times New Roman" w:eastAsia="Times New Roman" w:hAnsi="Times New Roman"/>
          <w:color w:val="ffffff"/>
          <w:sz w:val="24"/>
          <w:szCs w:val="24"/>
          <w:rtl w:val="0"/>
        </w:rPr>
        <w:t xml:space="preserve">i</w:t>
      </w:r>
      <w:r w:rsidDel="00000000" w:rsidR="00000000" w:rsidRPr="00000000">
        <w:rPr>
          <w:rFonts w:ascii="Times New Roman" w:cs="Times New Roman" w:eastAsia="Times New Roman" w:hAnsi="Times New Roman"/>
          <w:sz w:val="24"/>
          <w:szCs w:val="24"/>
          <w:rtl w:val="0"/>
        </w:rPr>
        <w:t xml:space="preserve">data</w:t>
      </w:r>
      <w:r w:rsidDel="00000000" w:rsidR="00000000" w:rsidRPr="00000000">
        <w:rPr>
          <w:rFonts w:ascii="Times New Roman" w:cs="Times New Roman" w:eastAsia="Times New Roman" w:hAnsi="Times New Roman"/>
          <w:color w:val="ffffff"/>
          <w:sz w:val="24"/>
          <w:szCs w:val="24"/>
          <w:rtl w:val="0"/>
        </w:rPr>
        <w:t xml:space="preserve"> i</w:t>
      </w:r>
      <w:r w:rsidDel="00000000" w:rsidR="00000000" w:rsidRPr="00000000">
        <w:rPr>
          <w:rFonts w:ascii="Times New Roman" w:cs="Times New Roman" w:eastAsia="Times New Roman" w:hAnsi="Times New Roman"/>
          <w:sz w:val="24"/>
          <w:szCs w:val="24"/>
          <w:rtl w:val="0"/>
        </w:rPr>
        <w:t xml:space="preserve">melalui</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wawancara</w:t>
      </w:r>
      <w:r w:rsidDel="00000000" w:rsidR="00000000" w:rsidRPr="00000000">
        <w:rPr>
          <w:rFonts w:ascii="Times New Roman" w:cs="Times New Roman" w:eastAsia="Times New Roman" w:hAnsi="Times New Roman"/>
          <w:color w:val="ffffff"/>
          <w:sz w:val="24"/>
          <w:szCs w:val="24"/>
          <w:rtl w:val="0"/>
        </w:rPr>
        <w:t xml:space="preserve"> i</w:t>
      </w:r>
      <w:r w:rsidDel="00000000" w:rsidR="00000000" w:rsidRPr="00000000">
        <w:rPr>
          <w:rFonts w:ascii="Times New Roman" w:cs="Times New Roman" w:eastAsia="Times New Roman" w:hAnsi="Times New Roman"/>
          <w:sz w:val="24"/>
          <w:szCs w:val="24"/>
          <w:rtl w:val="0"/>
        </w:rPr>
        <w:t xml:space="preserve">dan</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dokumentasi,</w:t>
      </w:r>
      <w:r w:rsidDel="00000000" w:rsidR="00000000" w:rsidRPr="00000000">
        <w:rPr>
          <w:rFonts w:ascii="Times New Roman" w:cs="Times New Roman" w:eastAsia="Times New Roman" w:hAnsi="Times New Roman"/>
          <w:color w:val="ffffff"/>
          <w:sz w:val="24"/>
          <w:szCs w:val="24"/>
          <w:rtl w:val="0"/>
        </w:rPr>
        <w:t xml:space="preserve"> i</w:t>
      </w:r>
      <w:r w:rsidDel="00000000" w:rsidR="00000000" w:rsidRPr="00000000">
        <w:rPr>
          <w:rFonts w:ascii="Times New Roman" w:cs="Times New Roman" w:eastAsia="Times New Roman" w:hAnsi="Times New Roman"/>
          <w:sz w:val="24"/>
          <w:szCs w:val="24"/>
          <w:rtl w:val="0"/>
        </w:rPr>
        <w:t xml:space="preserve">metode</w:t>
      </w:r>
      <w:r w:rsidDel="00000000" w:rsidR="00000000" w:rsidRPr="00000000">
        <w:rPr>
          <w:rFonts w:ascii="Times New Roman" w:cs="Times New Roman" w:eastAsia="Times New Roman" w:hAnsi="Times New Roman"/>
          <w:color w:val="ffffff"/>
          <w:sz w:val="24"/>
          <w:szCs w:val="24"/>
          <w:rtl w:val="0"/>
        </w:rPr>
        <w:t xml:space="preserve"> i</w:t>
      </w:r>
      <w:r w:rsidDel="00000000" w:rsidR="00000000" w:rsidRPr="00000000">
        <w:rPr>
          <w:rFonts w:ascii="Times New Roman" w:cs="Times New Roman" w:eastAsia="Times New Roman" w:hAnsi="Times New Roman"/>
          <w:sz w:val="24"/>
          <w:szCs w:val="24"/>
          <w:rtl w:val="0"/>
        </w:rPr>
        <w:t xml:space="preserve">analisis</w:t>
      </w:r>
      <w:r w:rsidDel="00000000" w:rsidR="00000000" w:rsidRPr="00000000">
        <w:rPr>
          <w:rFonts w:ascii="Times New Roman" w:cs="Times New Roman" w:eastAsia="Times New Roman" w:hAnsi="Times New Roman"/>
          <w:color w:val="ffffff"/>
          <w:sz w:val="24"/>
          <w:szCs w:val="24"/>
          <w:rtl w:val="0"/>
        </w:rPr>
        <w:t xml:space="preserve"> i</w:t>
      </w:r>
      <w:r w:rsidDel="00000000" w:rsidR="00000000" w:rsidRPr="00000000">
        <w:rPr>
          <w:rFonts w:ascii="Times New Roman" w:cs="Times New Roman" w:eastAsia="Times New Roman" w:hAnsi="Times New Roman"/>
          <w:sz w:val="24"/>
          <w:szCs w:val="24"/>
          <w:rtl w:val="0"/>
        </w:rPr>
        <w:t xml:space="preserve">dilakukan</w:t>
      </w:r>
      <w:r w:rsidDel="00000000" w:rsidR="00000000" w:rsidRPr="00000000">
        <w:rPr>
          <w:rFonts w:ascii="Times New Roman" w:cs="Times New Roman" w:eastAsia="Times New Roman" w:hAnsi="Times New Roman"/>
          <w:color w:val="ffffff"/>
          <w:sz w:val="24"/>
          <w:szCs w:val="24"/>
          <w:rtl w:val="0"/>
        </w:rPr>
        <w:t xml:space="preserve"> i</w:t>
      </w:r>
      <w:r w:rsidDel="00000000" w:rsidR="00000000" w:rsidRPr="00000000">
        <w:rPr>
          <w:rFonts w:ascii="Times New Roman" w:cs="Times New Roman" w:eastAsia="Times New Roman" w:hAnsi="Times New Roman"/>
          <w:sz w:val="24"/>
          <w:szCs w:val="24"/>
          <w:rtl w:val="0"/>
        </w:rPr>
        <w:t xml:space="preserve">dengan</w:t>
      </w:r>
      <w:r w:rsidDel="00000000" w:rsidR="00000000" w:rsidRPr="00000000">
        <w:rPr>
          <w:rFonts w:ascii="Times New Roman" w:cs="Times New Roman" w:eastAsia="Times New Roman" w:hAnsi="Times New Roman"/>
          <w:color w:val="ffffff"/>
          <w:sz w:val="24"/>
          <w:szCs w:val="24"/>
          <w:rtl w:val="0"/>
        </w:rPr>
        <w:t xml:space="preserve"> i</w:t>
      </w:r>
      <w:r w:rsidDel="00000000" w:rsidR="00000000" w:rsidRPr="00000000">
        <w:rPr>
          <w:rFonts w:ascii="Times New Roman" w:cs="Times New Roman" w:eastAsia="Times New Roman" w:hAnsi="Times New Roman"/>
          <w:sz w:val="24"/>
          <w:szCs w:val="24"/>
          <w:rtl w:val="0"/>
        </w:rPr>
        <w:t xml:space="preserve">cara</w:t>
      </w:r>
      <w:r w:rsidDel="00000000" w:rsidR="00000000" w:rsidRPr="00000000">
        <w:rPr>
          <w:rFonts w:ascii="Times New Roman" w:cs="Times New Roman" w:eastAsia="Times New Roman" w:hAnsi="Times New Roman"/>
          <w:color w:val="ffffff"/>
          <w:sz w:val="24"/>
          <w:szCs w:val="24"/>
          <w:rtl w:val="0"/>
        </w:rPr>
        <w:t xml:space="preserve"> i</w:t>
      </w:r>
      <w:r w:rsidDel="00000000" w:rsidR="00000000" w:rsidRPr="00000000">
        <w:rPr>
          <w:rFonts w:ascii="Times New Roman" w:cs="Times New Roman" w:eastAsia="Times New Roman" w:hAnsi="Times New Roman"/>
          <w:sz w:val="24"/>
          <w:szCs w:val="24"/>
          <w:rtl w:val="0"/>
        </w:rPr>
        <w:t xml:space="preserve">Reduksi</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data,</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penyajian</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data,</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dan</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penarikan</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kesimpulan.</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Hasil dari penelitian ini adalah: Sesuai dengan perkara Nomor 2020/Pdt.G/2019/PA.Kab.Kdr adalah menimbang dari fakta-fakta yang terdapat dalam persidangan, baik itu dari saksi-saksi, bukti-bukti yang dihadirkan oleh Penggugat dan Tergugat dalam persidangan. Majelis hakim memutuskan pembagian harta bersama sesuai dengan hasil kesepakatan damai pada saat mediasi antara Penggugat dan Tergugat, majelis hakim mendasarkan pertimbangannya pada teori keadilan ditributif. Dalam hal penjagaan anak serta penjamin kehidupan anak setelah bercerai adalah pihak istri. Tinjauan maqashid al-syari’ah dalam Pengadilan Agama Kabupaten Kediri dengan Nomor 2020/Pdt.G/2019 /PA.Kab.Kdr adalah termasuk dalam menjaga harta (hifz al mal) dalam hal </w:t>
      </w:r>
      <w:r w:rsidDel="00000000" w:rsidR="00000000" w:rsidRPr="00000000">
        <w:rPr>
          <w:rFonts w:ascii="Times New Roman" w:cs="Times New Roman" w:eastAsia="Times New Roman" w:hAnsi="Times New Roman"/>
          <w:i w:val="1"/>
          <w:iCs w:val="1"/>
          <w:sz w:val="24"/>
          <w:szCs w:val="24"/>
          <w:rtl w:val="0"/>
        </w:rPr>
        <w:t xml:space="preserve">daruriyyat</w:t>
      </w:r>
      <w:r w:rsidDel="00000000" w:rsidR="00000000" w:rsidRPr="00000000">
        <w:rPr>
          <w:rFonts w:ascii="Times New Roman" w:cs="Times New Roman" w:eastAsia="Times New Roman" w:hAnsi="Times New Roman"/>
          <w:sz w:val="24"/>
          <w:szCs w:val="24"/>
          <w:rtl w:val="0"/>
        </w:rPr>
        <w:t xml:space="preserve">. Dilihat dari tingkatan </w:t>
      </w:r>
      <w:r w:rsidDel="00000000" w:rsidR="00000000" w:rsidRPr="00000000">
        <w:rPr>
          <w:rFonts w:ascii="Times New Roman" w:cs="Times New Roman" w:eastAsia="Times New Roman" w:hAnsi="Times New Roman"/>
          <w:i w:val="1"/>
          <w:iCs w:val="1"/>
          <w:sz w:val="24"/>
          <w:szCs w:val="24"/>
          <w:rtl w:val="0"/>
        </w:rPr>
        <w:t xml:space="preserve">daruriyyat</w:t>
      </w:r>
      <w:r w:rsidDel="00000000" w:rsidR="00000000" w:rsidRPr="00000000">
        <w:rPr>
          <w:rFonts w:ascii="Times New Roman" w:cs="Times New Roman" w:eastAsia="Times New Roman" w:hAnsi="Times New Roman"/>
          <w:sz w:val="24"/>
          <w:szCs w:val="24"/>
          <w:rtl w:val="0"/>
        </w:rPr>
        <w:t xml:space="preserve"> pembagian harta bersama pada putusan ini memiliki tujuan yakni menjaga eksistensi harta yang kepemilikannya terjadi permasalahan, karena pada dasarnya harta tersebut adalah harta bersama antara Penggugat (istri) dan Tergugat (suami), setelah terjadi perceraian yang seharusnya harta tersebut harus dibagi oleh kedua belah pihak.</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Kata Kunci</w:t>
      </w:r>
      <w:r w:rsidDel="00000000" w:rsidR="00000000" w:rsidRPr="00000000">
        <w:rPr>
          <w:rFonts w:ascii="Times New Roman" w:cs="Times New Roman" w:eastAsia="Times New Roman" w:hAnsi="Times New Roman"/>
          <w:sz w:val="24"/>
          <w:szCs w:val="24"/>
          <w:rtl w:val="0"/>
        </w:rPr>
        <w:t xml:space="preserve">: Maqashid Al-Syari’ah, Gono Gini, Mediasi</w:t>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PENDAHULUAN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Undang-Undang Nomor 1 Tahun 1974 tentang perkawinan menyebutkan dalam Pasal 1 bahwa perkawinan adalah ikatan lahir batin yang dilakukan oleh seorang pria dan seorang wanita yang kemudian disebut dengan istilah suami</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istri</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dengan maksud untuk membentuk</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keluarga</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yang</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bahagia</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berdasarkan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Ketuhanan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Yang Maha</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Esa. Maka dari itu, syariat perkawinan pada dasarnya adalah halal antara laki-laki dan perempuan dengan tujuan untuk pemenuhan kebutuhan biologis manusia. Jika dilihat dari paradigma agama, perkawinan merupakan akad yang dilaksanakan antara wali perempuan dengan calon suami dan hal tersebut sah menurut agama.</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Kehidupan rumah tangga tidak selalu berjalan dengan tentram dan harmonis, kadangkala muncul pertikaian atau sengketa diantara suami dan istri sebab masalah tertentu. Bilamana suami istri dapat bersikap bijaksana menyikapi masalah tersebut maka kehidupan berumah tangga mereka dapat dipertahankan. Namun jika suami dan istri tidak mampu menyikapi masalah tersebut dengan kepala dingin dan bijaksana maka hubungan rumah tangga yang mereka bangun dapat berakhir dengan cerai.</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Harta meskipun pada dasarnya bukan kebutuhan utama dalam Islam namun secara logika kehidupan manusia akan mengalami kesulitan untuk mempertahankan hidupnya bila kekurangan harta. Oleh sebab itu, dalam rangka menjaga urgensi tersebut, ulama fiqh sepakat untuk menyusun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maqashid syariah. Maqashid syariah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jika ditarik dari segi kebahasaan adalah tujuan yang menjadi latar belakang ketentuan-ketentuan hukum islam atau secara sederhana merupakan tujuan disyariatkannya hukum. Disyariatkannya hukum dalam agama islam bertujuan untuk tercapainya kebahagiaan manusia dalam kehidupannya di dunia dan akhirat dengan cara mengambil jalan yang bermanfaat dan mencegah adanya kerusakan.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Adapun dalam penelitian ini, penulis mengangkat perkara gugatan harta gono gini yang diajukan ke Pengadilan Agama Kabupaten Kediri dengan nomor  2020/Pdt..G/2019/PA.Kab.Kdr yang terdapat di Pengadilan Agama Kabupaten Kediri. Perkara tersebut tersebut secara kronologis berkaitan dengan adanya sengketa pembagian harta bersama oleh pasangan suami istri yang diperoleh saat setelah dilakukannya pernikahan hingga terjadinya perceraian.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5hssnjad4eck"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Maka dari itu, untuk mewujudkan keadilan dalam perceraian tentang pembagian harta tersebut, diperlukan rumusan yang tetap terutama dalam hal ini penulis menekankan pada pandangan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maqashid syariah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terhadap adanya pembagian harta bersama. Telah diketahui bahwa dalam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maqashid syariah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terbagi</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dalam tiga gradasi tingkat yakni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dharuriyyat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(primer),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hajjiyyat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(sekunder) dan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tahsiniyyat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(tersier).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Dharuriyyat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yakni memelihara kebutuhan yang bersifat esensial. Kebutuhan itu terbagi menjadi lima hal yakni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al-diin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(agama),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al-nafs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(jiwa),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an-nasl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(keturunan),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al-mal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(harta), dan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al-aql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(akal).</w:t>
      </w:r>
    </w:p>
    <w:p w:rsidR="00000000" w:rsidDel="00000000" w:rsidP="00000000" w:rsidRDefault="00000000" w:rsidRPr="00000000" w14:paraId="00000018">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METODE PENELITIAN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Berdasarkan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judul</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yang</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penulis</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susun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pada</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penelitian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ini</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adalah</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pendekatan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kualitatif,</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pendekatan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kualitatif</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sendiri</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adalah</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suatu</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proses</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penelitian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yang</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berdasarkan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metodologi</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yang</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menyelidiki</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suatu</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fenomena</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sosial</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masalah-masalah</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yang</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terjadi</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pada</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manusia.</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Pada</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pendekatan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ini,</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penulis</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membuat</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suatu</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gambaran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kompleks,</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meneliti</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kata-kata,</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laporan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terinci</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dari</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pandangan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responden,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mealakukan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studi</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pada</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situasi</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yang</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alami.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u8hty2mu8i8e"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Jenis</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penelitian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ini</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adalah</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penelitian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yuridis</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empiris</w:t>
      </w:r>
      <w:r w:rsidDel="00000000" w:rsidR="00000000" w:rsidRPr="00000000">
        <w:rPr>
          <w:rFonts w:ascii="Times New Roman" w:cs="Times New Roman" w:eastAsia="Times New Roman" w:hAnsi="Times New Roman"/>
          <w:b w:val="0"/>
          <w:bCs w:val="0"/>
          <w:i w:val="1"/>
          <w:iCs w:val="1"/>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yaitu</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penelitian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yang</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dilakukan</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secara</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langsung</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tempat</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lokasi</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lapangan tempat</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terdapatnya</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masalah</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yang</w:t>
      </w:r>
      <w:r w:rsidDel="00000000" w:rsidR="00000000" w:rsidRPr="00000000">
        <w:rPr>
          <w:rFonts w:ascii="Times New Roman" w:cs="Times New Roman" w:eastAsia="Times New Roman" w:hAnsi="Times New Roman"/>
          <w:b w:val="0"/>
          <w:bCs w:val="0"/>
          <w:i w:val="0"/>
          <w:iCs w:val="0"/>
          <w:smallCaps w:val="0"/>
          <w:strike w:val="0"/>
          <w:color w:val="ffffff"/>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diteliti. Penelitian lapangan juga berguna untuk mendapatkan gambaran jelas dan nyata terkait permaslahan yang diteliti oleh penulis. Dalam prakteknya penelitian lapangan dilakukan pada Pengadilan Agama Kabupaten Kediri untuk meneliti perjanjian perdamaian dalam pembagian harta gono gini pada perkara gugatan dengan Nomor 2020/Pdt.G/2019/PA.Kab.Kdr dalam pertemuan mediasi.</w:t>
      </w:r>
    </w:p>
    <w:p w:rsidR="00000000" w:rsidDel="00000000" w:rsidP="00000000" w:rsidRDefault="00000000" w:rsidRPr="00000000" w14:paraId="0000001D">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HASIL PENELITIAN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Persidangan perkara gono-gini di Pengadilan Agama Kabupaten Kediri Nomor 2020/Pdt.G/2019/PA.Kab.Kdr dapat diselesaikan dengan mediasi antara dua belah pihak. Dengan ketentuan perdamaian pihak istri dan suami telah bersepakat bahwa harta bersama yang masih kepemilikannya atas nama pihak suami harus dilepaskan dan diberikan ke pihak istri, serta pihak istri memberikan uang sebesar Rp. 150.000.000 kepada pihak suami sebagai ganti usaha mencari harta bersama tersebut selama pernikahan. Sehingga masjelis hakim memberikan putusan: 1. Menyatakan telah terjadi perdamaian antara kedua belah pihak berperkara; 2. Menghukum belah pihak berperkara, pihak I (Tutik Ekowati Binti Djuwari) dan pihak II (Agus Tinoneto bin Bambang Suharso) untuk menaati isi persetujuan perdamaian yang telah disepakati tersebut diatas; 3. Menghukum Penggugat untuk membayar biaya perkara sejumlah Rp. 596.000,00 (Lima Ratus Sembilan Puluh Enam Ribu Rupiah).  </w:t>
      </w:r>
    </w:p>
    <w:p w:rsidR="00000000" w:rsidDel="00000000" w:rsidP="00000000" w:rsidRDefault="00000000" w:rsidRPr="00000000" w14:paraId="00000020">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PEMBAHASAN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Pasal 37 Undang-undang Perkawinan dan Pasal 96 dan 97 KHI dinyatakan bahwa apabila perkawinan putus baik karena perceraian maupun karena kematian, maka masing-masing suami istri mendapatkan separuh dari harta bersama yang diperoleh selama perkawinan berlangsung. Pasca perceraian antara suami dan istri, masalah harta benda merupakan salah satu penyebab timbulnya perselisihan dan hilangnya kerukunan dalam suatu hubungan mantan suami dan mantan isteri, karena harta bendalah yang menjadi dasar materil kehidupan dalam membangun keluarga.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Hukum acara yang terdapat pada Pasal 130 HIR maupun Pasal 154 RBg, mewajibkan kepada hakim agar menganjurkan atau mendorong para pihak yang bersengketa untuk menempuh proses perdamaian (mediasi). Berdasarkan Pasal 130 HIR/154 RBg mengenai serta mewajibkan bagi Hakim untuk mengupayakan perdamaian bagi kedua pihak yang berpekara.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Mediasi pada Pengadilan Agama Kabupaten Kediri dilakukan dalam sistem atau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court annexed resolution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Penerapan mediasi selalu disesuaikan dengan peraturan yang berlaku, dan disosialisasikan kepada para pihak yang berkepentingan. Terkait dengan suatu perkara gugatan yang didaftarkan dengan catatan perkara gugatan yang diharuskan untuk dilakukan mediasi.</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Dalam perkara ini gugatan gono-gini selesai ditingkat mediasi saja. Pada perkara Pengadilan Agama Kabupaten Kediri Nomor 2020/Pdt.G/2019/PA.Kab.Kdr yang pada intinya pihak istri dan suami telah bersepakat bahwa harta bersama yang masih kepemilikannya atas nama pihak suami harus dilepaskan dan diberikan ke pihak istri, serta pihak istri memberikan uang sebesar Rp. 150.000.000 kepada pihak suami sebagai ganti usaha mencari harta bersama tersebut selama pernikahan. Hal tersebut didasarkan pada pertimbangan bahwa pihak istri akan lebih banyak berkontribusi untuk menghidupi anak-anaknya yang dihasilkan selama proses pernikahan dengan pihak Tergugat (suami). Majelis hakim dalam pertimbangannya juga mendasarkan putusannya pada teori keadilan distributif yang memberikan kepada setiap orang porsi menurut prestasinya maupun kontribusinya. Jika suami atau istri berkontribusi lebih besar dalam mengumpulkan harta bersama, maka adalah lebih memenuhi rasa keadilan apabila salah satu pihak memperoleh bagian yang lebih besar dalam mengumpulkan harta bersama, maka adalah lebih memenuhi rasa keadilan apabila salah satu pihak memperoleh bagian yang lebih dibandingkan yang lain.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Perkara harta bersama pada perkara nomor 2020/Pdt.G/2019/PA.Kab.Kdr termasuk dalam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maqashid al syariah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pada tingkatan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maqashid al-daruriyyat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dalam hal menjaga harta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hifzh al-mal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maqashid al-daruriyyat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Imam Juwayniy telah mengemukakan, yang kemudian dikembangkan oleh Al-Ghozali dan Asy-Syatibi untuk memelihara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al-Umurudh-dharuriyah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dalam kehidupan manusia, yang menjadi sendi eksistensi kehidipan manusia yang harus ada kemaslahatan pada mereka. Dalam hal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hifz al-mal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(perlindungan terhadap harta), dalam memelihara harta Islam mengharamkan mencuri, menipu, menjalankan dan memakan riba, merusak harta milik sendiri maupun milik orang lain. Dalam memperoleh harta disyariatkan usaha-usaha yang halal. pembagian harta bersama melalui jalur litigasi oleh pengadilan itu memiliki tujuan utama yakni menjaga eksistensi harta yang kepemilikannya terjadi permasalahan, karena pada dasarnya harta tersebut adalah harta bersama antara Penggugat (istri) dan Tergugat (suami), setelah terjadi perceraian yang seharusnya harta tersebut dibagi oleh kedua belah pihak namun pembagian tersebut tidak berhasil. Sehingga adanya perkara pengadilan nomor 2020/Pdt.G/2019/PA.Kab.Kdr memberikan manfaat karena penyelesaian pembagian harta bersama melalui jalur kekeluargaan tidak menemukan titik temu, apabila pembagian itu tetap tidak bisa diselesaikan maka akan menimbulkan masalah misalnya salah satu pihak menggunakan harta bersama secara sewenang-wenang tanpa persetujuan pihak yang lain.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Harta bersama dalam hukum Islam terdapat dua pendapat. Pendapat yang pertama mengatakan bahwa dalam kitab-kitab fikih tradisional harta bersama diartikan sebeagai harta kekayaan yang dihasilkan oleh suami istri selama mereka diikat oleh tali perkawinan, atau dengan perkataan lain harta bersama itu harta yang dihasilkan dengan jalan</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syirkah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antara suami istri sehingga terjadi percampuran harta yang satu dengan yang lain dan tidak dapat dibeda-bedakan lagi. Perkara harta bersama ini masuk dalam kategori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syirkah abadan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mufawadlah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Syirkah abadan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atau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syirkah al-a’mal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adalah persekutuan dua pihak pekerja atau lebih untuk mengerjakan suatu pekerjaan, hasil atau upah dari hasil pekerjaan tersebut dibagi sesuai dengan kesepakatan mereka. Sedangkan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syirkah muwafadlah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adalah sebuah persekutuan dimana posisi dan komposisi pihak-pihak yang terlibat di dalamnya adalah tidak sama, baik dalam hal modal, pekerjaan maupun dalam hal resiko kerugian.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Perkara Pengadilan Agama Kabupaten Kediri Nomor 2020/Pdt.G/2019/PA.Kab.Kdr yang pada amarnya menetukan pembagian harta bersama sebesar seluruh harta untuk Penggugat (istri) dan uang sejumlah Rp. 150.000.000 untuk tergugat (suami) menurut tinjauan muqashid syariah sudah mencerminkan nilai keadilan dan berorientasi pada maqashid al syariah dengan tujuan menjaga harta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hifz al-mal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karena pembagian tersebut hakim mempertimbangkan siapa yang bertanggungjawab dalam pemenuhan kebutuhan seorang anak yang ditinggal cerai, dalam hal ini hak asuh anak diberikan kepada pihak istri.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Selain itu, permasalahan harta bersama pada perkara ini sudah dibawa ke ranah pengadilan oleh para pihak, sehingga sudah barang tentu permasalan ini sudah tidak bisa lagi diselesaikan secara kekeluargaan, maka perkara harta bersama ini termasuk bentuk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maqashid al syariah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dalam hal menjaga harta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hifz al-mal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dan apabila majelis hakim tidak menyelesaikan dan memberi amar putusan secara adil, maka akan mengancam eksistensi dari harta bersama tersebut dan memungkinkan menimbulkan masalah baru yaitu timbulnya konflik dari para pihak. Putusan hakim dalam hal ini mencerminkan kaidah ushul fiqh mengatakan bahwa segala tindakan atau kebijakan seorang imam (pemimpin) terhadap orang yang berada dibawah kepemimpinannya harus mengacu pada terwujudnya manfaat duniawi maupun manfaat ukhrowi yang diraih atau berupa bahaya dan kerusakan yang terhindarkan dari orang-orang yang berada dibawah kepemimoinannya. Menurut Abdul Mujib tindakan dan kebijaksanaan yang ditempuh oleh pemimpin atau penguasa harus sejalan dengan kepentingan umum bukan golongan atau sendiri. Dalam perkara tersebut kebijakan imam (dalam hal ini majelis hakim) mengambil kebijakan yang didasarkan demi terwujudnya kemaslahatan para pihak yang bersengketa dengan amar putusannya yang membagi harta bersama sesuai porsi perolehan masing-masing pihak.</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KESIMPULAN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t4x66eit4uw7"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Sesuai dengan perkara Nomor 2020/Pdt.G/2019/PA.Kab.Kdr adalah menimbang dari fakta-fakta yang terdapat dalam persidangan, baik itu dari saksi-saksi, bukti-bukti yang dihadirkan oleh Penggugat dan Tergugat dalam persidangan. Majelis hakim memutuskan pembagian harta bersama sesuai dengan hasil kesepakatan damai pada saat mediasi antara Penggugat dan Tergugat, majelis hakim mendasarkan pertimbangannya pada teori keadilan ditributif. Dalam hal penjagaan anak serta penjamin kehidupan anak setelah bercerai adalah pihak istri.</w:t>
      </w:r>
    </w:p>
    <w:p w:rsidR="00000000" w:rsidDel="00000000" w:rsidP="00000000" w:rsidRDefault="00000000" w:rsidRPr="00000000" w14:paraId="0000002D">
      <w:pPr>
        <w:spacing w:after="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Tinjauan </w:t>
      </w:r>
      <w:r w:rsidDel="00000000" w:rsidR="00000000" w:rsidRPr="00000000">
        <w:rPr>
          <w:rFonts w:ascii="Times New Roman" w:cs="Times New Roman" w:eastAsia="Times New Roman" w:hAnsi="Times New Roman"/>
          <w:i w:val="1"/>
          <w:iCs w:val="1"/>
          <w:sz w:val="24"/>
          <w:szCs w:val="24"/>
          <w:rtl w:val="0"/>
        </w:rPr>
        <w:t xml:space="preserve">maqashid al-syari’ah</w:t>
      </w:r>
      <w:r w:rsidDel="00000000" w:rsidR="00000000" w:rsidRPr="00000000">
        <w:rPr>
          <w:rFonts w:ascii="Times New Roman" w:cs="Times New Roman" w:eastAsia="Times New Roman" w:hAnsi="Times New Roman"/>
          <w:sz w:val="24"/>
          <w:szCs w:val="24"/>
          <w:rtl w:val="0"/>
        </w:rPr>
        <w:t xml:space="preserve"> dalam Perkara Pengadilan Agama Kabupaten Kediri Nomor 2020/Pdt.G/2019/PA.Kab.Kdr adalah termasuk dalam menjaga harta (</w:t>
      </w:r>
      <w:r w:rsidDel="00000000" w:rsidR="00000000" w:rsidRPr="00000000">
        <w:rPr>
          <w:rFonts w:ascii="Times New Roman" w:cs="Times New Roman" w:eastAsia="Times New Roman" w:hAnsi="Times New Roman"/>
          <w:i w:val="1"/>
          <w:iCs w:val="1"/>
          <w:sz w:val="24"/>
          <w:szCs w:val="24"/>
          <w:rtl w:val="0"/>
        </w:rPr>
        <w:t xml:space="preserve">hifz al mal</w:t>
      </w:r>
      <w:r w:rsidDel="00000000" w:rsidR="00000000" w:rsidRPr="00000000">
        <w:rPr>
          <w:rFonts w:ascii="Times New Roman" w:cs="Times New Roman" w:eastAsia="Times New Roman" w:hAnsi="Times New Roman"/>
          <w:sz w:val="24"/>
          <w:szCs w:val="24"/>
          <w:rtl w:val="0"/>
        </w:rPr>
        <w:t xml:space="preserve">) dalam hal </w:t>
      </w:r>
      <w:r w:rsidDel="00000000" w:rsidR="00000000" w:rsidRPr="00000000">
        <w:rPr>
          <w:rFonts w:ascii="Times New Roman" w:cs="Times New Roman" w:eastAsia="Times New Roman" w:hAnsi="Times New Roman"/>
          <w:i w:val="1"/>
          <w:iCs w:val="1"/>
          <w:sz w:val="24"/>
          <w:szCs w:val="24"/>
          <w:rtl w:val="0"/>
        </w:rPr>
        <w:t xml:space="preserve">daruriyyat</w:t>
      </w:r>
      <w:r w:rsidDel="00000000" w:rsidR="00000000" w:rsidRPr="00000000">
        <w:rPr>
          <w:rFonts w:ascii="Times New Roman" w:cs="Times New Roman" w:eastAsia="Times New Roman" w:hAnsi="Times New Roman"/>
          <w:sz w:val="24"/>
          <w:szCs w:val="24"/>
          <w:rtl w:val="0"/>
        </w:rPr>
        <w:t xml:space="preserve">. Dilihat dari tingkatan </w:t>
      </w:r>
      <w:r w:rsidDel="00000000" w:rsidR="00000000" w:rsidRPr="00000000">
        <w:rPr>
          <w:rFonts w:ascii="Times New Roman" w:cs="Times New Roman" w:eastAsia="Times New Roman" w:hAnsi="Times New Roman"/>
          <w:i w:val="1"/>
          <w:iCs w:val="1"/>
          <w:sz w:val="24"/>
          <w:szCs w:val="24"/>
          <w:rtl w:val="0"/>
        </w:rPr>
        <w:t xml:space="preserve">daruriyyat </w:t>
      </w:r>
      <w:r w:rsidDel="00000000" w:rsidR="00000000" w:rsidRPr="00000000">
        <w:rPr>
          <w:rFonts w:ascii="Times New Roman" w:cs="Times New Roman" w:eastAsia="Times New Roman" w:hAnsi="Times New Roman"/>
          <w:sz w:val="24"/>
          <w:szCs w:val="24"/>
          <w:rtl w:val="0"/>
        </w:rPr>
        <w:t xml:space="preserve">pembagian harta bersama pada perkara ini memiliki tujuan yakni menjaga eksistensi harta yang kepemilikannya terjadi permasalahan, karena pada dasarnya harta tersebut adalah harta bersama antara Penggugat (istri) dan Tergugat (suami), setelah terjadi perceraian yang seharusnya harta tersebut dibagi oleh kedua belah pihak namun pembagian tersebut tidak berhasil. Sehingga adanya perkara pengadilan nomor 2020/Pdt.G/2019/PA.Kab.Kdr memberikan manfaat karena penyelesaian pembagian harta bersama melalui jalur kekeluargaan tidak menemukan titik temu, apabila pembagian itu tetap tidak bisa diselesaikan maka akan menimbulkan masalah misalnya salah satu pihak menggunakan harta bersama secara sewenang-wenang tanpa persetujuan pihak yang lain. </w:t>
      </w:r>
    </w:p>
    <w:p w:rsidR="00000000" w:rsidDel="00000000" w:rsidP="00000000" w:rsidRDefault="00000000" w:rsidRPr="00000000" w14:paraId="0000002E">
      <w:pPr>
        <w:spacing w:after="0" w:line="36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REFERENSI</w:t>
      </w:r>
    </w:p>
    <w:p w:rsidR="00000000" w:rsidDel="00000000" w:rsidP="00000000" w:rsidRDefault="00000000" w:rsidRPr="00000000" w14:paraId="00000030">
      <w:pPr>
        <w:spacing w:after="0" w:line="360" w:lineRule="auto"/>
        <w:ind w:left="709" w:hanging="709"/>
        <w:rPr>
          <w:sz w:val="24"/>
          <w:szCs w:val="24"/>
        </w:rPr>
      </w:pPr>
      <w:r w:rsidDel="00000000" w:rsidR="00000000" w:rsidRPr="00000000">
        <w:rPr>
          <w:sz w:val="24"/>
          <w:szCs w:val="24"/>
          <w:rtl w:val="0"/>
        </w:rPr>
        <w:t xml:space="preserve">Abdul Manan, </w:t>
      </w:r>
      <w:r w:rsidDel="00000000" w:rsidR="00000000" w:rsidRPr="00000000">
        <w:rPr>
          <w:i w:val="1"/>
          <w:iCs w:val="1"/>
          <w:sz w:val="24"/>
          <w:szCs w:val="24"/>
          <w:rtl w:val="0"/>
        </w:rPr>
        <w:t xml:space="preserve">Beberapa Masalah Tentang Harta Bersama</w:t>
      </w:r>
      <w:r w:rsidDel="00000000" w:rsidR="00000000" w:rsidRPr="00000000">
        <w:rPr>
          <w:sz w:val="24"/>
          <w:szCs w:val="24"/>
          <w:rtl w:val="0"/>
        </w:rPr>
        <w:t xml:space="preserve">, Mimbar Hukum, No 33, Tahun VIII, 1997</w:t>
      </w:r>
    </w:p>
    <w:p w:rsidR="00000000" w:rsidDel="00000000" w:rsidP="00000000" w:rsidRDefault="00000000" w:rsidRPr="00000000" w14:paraId="00000031">
      <w:pPr>
        <w:spacing w:after="0" w:line="360" w:lineRule="auto"/>
        <w:ind w:left="709" w:hanging="709"/>
        <w:rPr>
          <w:sz w:val="24"/>
          <w:szCs w:val="24"/>
        </w:rPr>
      </w:pPr>
      <w:r w:rsidDel="00000000" w:rsidR="00000000" w:rsidRPr="00000000">
        <w:rPr>
          <w:rFonts w:ascii="Times New Roman" w:cs="Times New Roman" w:eastAsia="Times New Roman" w:hAnsi="Times New Roman"/>
          <w:sz w:val="24"/>
          <w:szCs w:val="24"/>
          <w:rtl w:val="0"/>
        </w:rPr>
        <w:t xml:space="preserve">Afifudin, Beni Ahmad Saebani, </w:t>
      </w:r>
      <w:r w:rsidDel="00000000" w:rsidR="00000000" w:rsidRPr="00000000">
        <w:rPr>
          <w:rFonts w:ascii="Times New Roman" w:cs="Times New Roman" w:eastAsia="Times New Roman" w:hAnsi="Times New Roman"/>
          <w:i w:val="1"/>
          <w:iCs w:val="1"/>
          <w:sz w:val="24"/>
          <w:szCs w:val="24"/>
          <w:rtl w:val="0"/>
        </w:rPr>
        <w:t xml:space="preserve">Metodologi Penelitian Kualitatif </w:t>
      </w:r>
      <w:r w:rsidDel="00000000" w:rsidR="00000000" w:rsidRPr="00000000">
        <w:rPr>
          <w:rFonts w:ascii="Times New Roman" w:cs="Times New Roman" w:eastAsia="Times New Roman" w:hAnsi="Times New Roman"/>
          <w:sz w:val="24"/>
          <w:szCs w:val="24"/>
          <w:rtl w:val="0"/>
        </w:rPr>
        <w:t xml:space="preserve">(Bandung: CV Pustaka Setia, 2009)</w:t>
      </w:r>
      <w:r w:rsidDel="00000000" w:rsidR="00000000" w:rsidRPr="00000000">
        <w:rPr>
          <w:rtl w:val="0"/>
        </w:rPr>
      </w:r>
    </w:p>
    <w:p w:rsidR="00000000" w:rsidDel="00000000" w:rsidP="00000000" w:rsidRDefault="00000000" w:rsidRPr="00000000" w14:paraId="00000032">
      <w:pPr>
        <w:spacing w:after="0" w:line="360" w:lineRule="auto"/>
        <w:ind w:left="709" w:hanging="709"/>
        <w:rPr>
          <w:sz w:val="24"/>
          <w:szCs w:val="24"/>
        </w:rPr>
      </w:pPr>
      <w:r w:rsidDel="00000000" w:rsidR="00000000" w:rsidRPr="00000000">
        <w:rPr>
          <w:sz w:val="24"/>
          <w:szCs w:val="24"/>
          <w:rtl w:val="0"/>
        </w:rPr>
        <w:t xml:space="preserve">Ahmad Al-Mursi Husain Jauhar, </w:t>
      </w:r>
      <w:r w:rsidDel="00000000" w:rsidR="00000000" w:rsidRPr="00000000">
        <w:rPr>
          <w:i w:val="1"/>
          <w:iCs w:val="1"/>
          <w:sz w:val="24"/>
          <w:szCs w:val="24"/>
          <w:rtl w:val="0"/>
        </w:rPr>
        <w:t xml:space="preserve">Maqashid Syariah Penerjemah Khikmawati (kuwais),</w:t>
      </w:r>
      <w:r w:rsidDel="00000000" w:rsidR="00000000" w:rsidRPr="00000000">
        <w:rPr>
          <w:sz w:val="24"/>
          <w:szCs w:val="24"/>
          <w:rtl w:val="0"/>
        </w:rPr>
        <w:t xml:space="preserve"> (Jakarta:Amzah, 2009)</w:t>
      </w:r>
    </w:p>
    <w:p w:rsidR="00000000" w:rsidDel="00000000" w:rsidP="00000000" w:rsidRDefault="00000000" w:rsidRPr="00000000" w14:paraId="00000033">
      <w:pPr>
        <w:spacing w:after="0" w:line="360" w:lineRule="auto"/>
        <w:ind w:left="709" w:hanging="709"/>
        <w:jc w:val="both"/>
        <w:rPr>
          <w:sz w:val="24"/>
          <w:szCs w:val="24"/>
        </w:rPr>
      </w:pPr>
      <w:r w:rsidDel="00000000" w:rsidR="00000000" w:rsidRPr="00000000">
        <w:rPr>
          <w:sz w:val="24"/>
          <w:szCs w:val="24"/>
          <w:rtl w:val="0"/>
        </w:rPr>
        <w:t xml:space="preserve">Ahmad Wardi Muslich</w:t>
      </w:r>
      <w:r w:rsidDel="00000000" w:rsidR="00000000" w:rsidRPr="00000000">
        <w:rPr>
          <w:i w:val="1"/>
          <w:iCs w:val="1"/>
          <w:sz w:val="24"/>
          <w:szCs w:val="24"/>
          <w:rtl w:val="0"/>
        </w:rPr>
        <w:t xml:space="preserve">, Fiqh Muamalat,</w:t>
      </w:r>
      <w:r w:rsidDel="00000000" w:rsidR="00000000" w:rsidRPr="00000000">
        <w:rPr>
          <w:sz w:val="24"/>
          <w:szCs w:val="24"/>
          <w:rtl w:val="0"/>
        </w:rPr>
        <w:t xml:space="preserve"> (Jakarta:Amzah, 2010)</w:t>
      </w:r>
    </w:p>
    <w:p w:rsidR="00000000" w:rsidDel="00000000" w:rsidP="00000000" w:rsidRDefault="00000000" w:rsidRPr="00000000" w14:paraId="00000034">
      <w:pPr>
        <w:spacing w:after="0" w:line="360" w:lineRule="auto"/>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Andi Prastowo, </w:t>
      </w:r>
      <w:r w:rsidDel="00000000" w:rsidR="00000000" w:rsidRPr="00000000">
        <w:rPr>
          <w:rFonts w:ascii="Times New Roman" w:cs="Times New Roman" w:eastAsia="Times New Roman" w:hAnsi="Times New Roman"/>
          <w:i w:val="1"/>
          <w:iCs w:val="1"/>
          <w:sz w:val="24"/>
          <w:szCs w:val="24"/>
          <w:rtl w:val="0"/>
        </w:rPr>
        <w:t xml:space="preserve">Metodologi Penelitian Kualitatif dalam Perspektif Rancangan Penelitian </w:t>
      </w:r>
      <w:r w:rsidDel="00000000" w:rsidR="00000000" w:rsidRPr="00000000">
        <w:rPr>
          <w:rFonts w:ascii="Times New Roman" w:cs="Times New Roman" w:eastAsia="Times New Roman" w:hAnsi="Times New Roman"/>
          <w:sz w:val="24"/>
          <w:szCs w:val="24"/>
          <w:rtl w:val="0"/>
        </w:rPr>
        <w:t xml:space="preserve">(Yogyakarta: Ar–Ruzz Media, 2014)</w:t>
      </w:r>
    </w:p>
    <w:p w:rsidR="00000000" w:rsidDel="00000000" w:rsidP="00000000" w:rsidRDefault="00000000" w:rsidRPr="00000000" w14:paraId="00000035">
      <w:pPr>
        <w:spacing w:after="0" w:line="360" w:lineRule="auto"/>
        <w:ind w:left="709" w:hanging="709"/>
        <w:rPr>
          <w:sz w:val="24"/>
          <w:szCs w:val="24"/>
        </w:rPr>
      </w:pPr>
      <w:r w:rsidDel="00000000" w:rsidR="00000000" w:rsidRPr="00000000">
        <w:rPr>
          <w:rFonts w:ascii="Times New Roman" w:cs="Times New Roman" w:eastAsia="Times New Roman" w:hAnsi="Times New Roman"/>
          <w:sz w:val="24"/>
          <w:szCs w:val="24"/>
          <w:rtl w:val="0"/>
        </w:rPr>
        <w:t xml:space="preserve">Limas Dodi, </w:t>
      </w:r>
      <w:r w:rsidDel="00000000" w:rsidR="00000000" w:rsidRPr="00000000">
        <w:rPr>
          <w:rFonts w:ascii="Times New Roman" w:cs="Times New Roman" w:eastAsia="Times New Roman" w:hAnsi="Times New Roman"/>
          <w:i w:val="1"/>
          <w:iCs w:val="1"/>
          <w:sz w:val="24"/>
          <w:szCs w:val="24"/>
          <w:rtl w:val="0"/>
        </w:rPr>
        <w:t xml:space="preserve">Metodologi Penelitian </w:t>
      </w:r>
      <w:r w:rsidDel="00000000" w:rsidR="00000000" w:rsidRPr="00000000">
        <w:rPr>
          <w:rFonts w:ascii="Times New Roman" w:cs="Times New Roman" w:eastAsia="Times New Roman" w:hAnsi="Times New Roman"/>
          <w:sz w:val="24"/>
          <w:szCs w:val="24"/>
          <w:rtl w:val="0"/>
        </w:rPr>
        <w:t xml:space="preserve">(Yogyakarta: Pustaka Ilmu, 2015)</w:t>
      </w:r>
      <w:r w:rsidDel="00000000" w:rsidR="00000000" w:rsidRPr="00000000">
        <w:rPr>
          <w:rtl w:val="0"/>
        </w:rPr>
      </w:r>
    </w:p>
    <w:p w:rsidR="00000000" w:rsidDel="00000000" w:rsidP="00000000" w:rsidRDefault="00000000" w:rsidRPr="00000000" w14:paraId="00000036">
      <w:pPr>
        <w:spacing w:after="0" w:line="360" w:lineRule="auto"/>
        <w:ind w:left="709" w:hanging="709"/>
        <w:rPr>
          <w:sz w:val="24"/>
          <w:szCs w:val="24"/>
        </w:rPr>
      </w:pPr>
      <w:r w:rsidDel="00000000" w:rsidR="00000000" w:rsidRPr="00000000">
        <w:rPr>
          <w:sz w:val="24"/>
          <w:szCs w:val="24"/>
          <w:rtl w:val="0"/>
        </w:rPr>
        <w:t xml:space="preserve">Mardani, </w:t>
      </w:r>
      <w:r w:rsidDel="00000000" w:rsidR="00000000" w:rsidRPr="00000000">
        <w:rPr>
          <w:i w:val="1"/>
          <w:iCs w:val="1"/>
          <w:sz w:val="24"/>
          <w:szCs w:val="24"/>
          <w:rtl w:val="0"/>
        </w:rPr>
        <w:t xml:space="preserve">Hukum Perkawinan Islam di Dunia Islam Modern </w:t>
      </w:r>
      <w:r w:rsidDel="00000000" w:rsidR="00000000" w:rsidRPr="00000000">
        <w:rPr>
          <w:sz w:val="24"/>
          <w:szCs w:val="24"/>
          <w:rtl w:val="0"/>
        </w:rPr>
        <w:t xml:space="preserve">(Yogyakarta: Graha Ilmu, 2011)</w:t>
      </w:r>
    </w:p>
    <w:p w:rsidR="00000000" w:rsidDel="00000000" w:rsidP="00000000" w:rsidRDefault="00000000" w:rsidRPr="00000000" w14:paraId="00000037">
      <w:pPr>
        <w:spacing w:after="0" w:line="360" w:lineRule="auto"/>
        <w:ind w:left="709" w:hanging="709"/>
        <w:rPr>
          <w:sz w:val="24"/>
          <w:szCs w:val="24"/>
        </w:rPr>
      </w:pPr>
      <w:r w:rsidDel="00000000" w:rsidR="00000000" w:rsidRPr="00000000">
        <w:rPr>
          <w:sz w:val="24"/>
          <w:szCs w:val="24"/>
          <w:rtl w:val="0"/>
        </w:rPr>
        <w:t xml:space="preserve">Muhammad Washfi, </w:t>
      </w:r>
      <w:r w:rsidDel="00000000" w:rsidR="00000000" w:rsidRPr="00000000">
        <w:rPr>
          <w:i w:val="1"/>
          <w:iCs w:val="1"/>
          <w:sz w:val="24"/>
          <w:szCs w:val="24"/>
          <w:rtl w:val="0"/>
        </w:rPr>
        <w:t xml:space="preserve">Mencapai Keluarga Barokah </w:t>
      </w:r>
      <w:r w:rsidDel="00000000" w:rsidR="00000000" w:rsidRPr="00000000">
        <w:rPr>
          <w:sz w:val="24"/>
          <w:szCs w:val="24"/>
          <w:rtl w:val="0"/>
        </w:rPr>
        <w:t xml:space="preserve">(Yogyakarta: Mitra Pustaka, 2005)</w:t>
      </w:r>
    </w:p>
    <w:p w:rsidR="00000000" w:rsidDel="00000000" w:rsidP="00000000" w:rsidRDefault="00000000" w:rsidRPr="00000000" w14:paraId="00000038">
      <w:pPr>
        <w:spacing w:after="240" w:line="48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9">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spacing w:after="0" w:line="36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B">
      <w:pPr>
        <w:jc w:val="center"/>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6838" w:w="11906" w:orient="portrait"/>
      <w:pgMar w:bottom="1701" w:top="2268" w:left="2268"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