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VI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PENUTUP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053" w:rsidRDefault="000D3053" w:rsidP="000D3053">
      <w:pPr>
        <w:pStyle w:val="ListParagraph"/>
        <w:numPr>
          <w:ilvl w:val="4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Kesimpulan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UPT PPSAA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Trenggalek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asrama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Kediri,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lain: 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Kecenderungan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pemberani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pengecut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social,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berkuasa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patuh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inisiatif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social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pasif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mandiri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tergantung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b. </w:t>
      </w:r>
      <w:proofErr w:type="spellStart"/>
      <w:r>
        <w:rPr>
          <w:rFonts w:ascii="Times New Roman" w:hAnsi="Times New Roman"/>
          <w:sz w:val="24"/>
        </w:rPr>
        <w:t>Kecenderungan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Sosial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ditolak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oleh</w:t>
      </w:r>
      <w:proofErr w:type="spellEnd"/>
      <w:r>
        <w:rPr>
          <w:rFonts w:ascii="Times New Roman" w:hAnsi="Times New Roman"/>
          <w:sz w:val="24"/>
        </w:rPr>
        <w:t xml:space="preserve"> orang lain, 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bergaul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bergaul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ramah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ramah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simpatik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simpatik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Kecenderungan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Ekspresif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bersaing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kooperatif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bersaing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sama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agresif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agresif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social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pamer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menonjolkan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UPT PPSAA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Trenggalek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Kediri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pembinaan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anak asuh di UPT PPSAA Trenggalek asrama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menunjukkan sopan santun kepada teman dan pengasuh yang ada di panti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053" w:rsidRDefault="000D3053" w:rsidP="000D30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Saran</w:t>
      </w:r>
    </w:p>
    <w:p w:rsidR="000D3053" w:rsidRDefault="000D3053" w:rsidP="000D3053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0D3053" w:rsidRDefault="000D3053" w:rsidP="000D3053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3053" w:rsidRDefault="000D3053" w:rsidP="000D3053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UPT PPSAA Trenggalek asrama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4780" w:rsidRDefault="000D3053" w:rsidP="000D3053"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8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622A52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062" w:hanging="360"/>
      </w:pPr>
    </w:lvl>
    <w:lvl w:ilvl="2" w:tplc="31026EB0">
      <w:start w:val="1"/>
      <w:numFmt w:val="decimal"/>
      <w:lvlText w:val="%3."/>
      <w:lvlJc w:val="left"/>
      <w:pPr>
        <w:ind w:left="121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30EC22F0">
      <w:start w:val="1"/>
      <w:numFmt w:val="upperLetter"/>
      <w:lvlText w:val="%5.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53"/>
    <w:rsid w:val="000D3053"/>
    <w:rsid w:val="0046647B"/>
    <w:rsid w:val="00D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9E7E-4A92-4130-9A67-64F3AC5E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53"/>
    <w:pPr>
      <w:spacing w:line="253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3053"/>
    <w:pPr>
      <w:ind w:left="720"/>
      <w:contextualSpacing/>
    </w:pPr>
    <w:rPr>
      <w:rFonts w:cs="Calibri"/>
      <w:lang w:eastAsia="en-ID"/>
    </w:rPr>
  </w:style>
  <w:style w:type="character" w:customStyle="1" w:styleId="ListParagraphChar">
    <w:name w:val="List Paragraph Char"/>
    <w:link w:val="ListParagraph"/>
    <w:uiPriority w:val="34"/>
    <w:qFormat/>
    <w:rsid w:val="000D3053"/>
    <w:rPr>
      <w:rFonts w:ascii="Calibri" w:eastAsia="Calibri" w:hAnsi="Calibri" w:cs="Calibri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</cp:lastModifiedBy>
  <cp:revision>1</cp:revision>
  <dcterms:created xsi:type="dcterms:W3CDTF">2024-12-02T10:46:00Z</dcterms:created>
  <dcterms:modified xsi:type="dcterms:W3CDTF">2024-12-02T10:46:00Z</dcterms:modified>
</cp:coreProperties>
</file>